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z w:val="104"/>
          <w:szCs w:val="104"/>
        </w:rPr>
      </w:pPr>
      <w:r>
        <w:rPr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1089660</wp:posOffset>
                </wp:positionV>
                <wp:extent cx="59436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85.8pt;height:0pt;width:468pt;z-index:251659264;mso-width-relative:page;mso-height-relative:page;" filled="f" stroked="t" coordsize="21600,21600" o:gfxdata="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Pw+BTUAAAACwEAAA8AAAAAAAAAAQAgAAAAIgAAAGRycy9kb3ducmV2LnhtbFBL&#10;AQIUABQAAAAIAIdO4kBwMSEw+gEAAOsDAAAOAAAAAAAAAAEAIAAAACMBAABkcnMvZTJvRG9jLnht&#10;bFBLBQYAAAAABgAGAFkBAACP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color w:val="FF0000"/>
          <w:sz w:val="104"/>
          <w:szCs w:val="104"/>
        </w:rPr>
        <w:t>宿 州 市 地 震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关于加强全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地震监测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台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网分级分类管理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，局机关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科室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局属各事业单位：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为进一步落实《安徽省地震监测站网运维管理办法》《宿州市地震台网（站）运行管理与保护办法》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地震监测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网运维管理，不断提升地震观测资料质量，现就加强全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地震监测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网分级分类管理有关工作要求通知如下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要按照“属地为主、分级管理”的原则，落实地震监测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网运维管理主体责任。要加强运维经费保障，将所属地震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运维经费纳入本级预算。要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主动作为，不断提高自身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能力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也可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引入社会化服务或委托有运维技术能力的单位参与或承担运维工作。要持续推进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标准化改造工作，展现行业特色，提升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运行规范化水平。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市地震台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要不断提升运维技术能力，制定运维工作细则，强化运维保障，为辖区市县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级地震监测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网运维及标准化改造等工作提供技术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依托市地震监测中心，市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要加强业务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指导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全市台站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人员培训，强化对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各台站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和信息网络数据监控和质量管理。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四、建立全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地震监测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网运维情况月通报制度，定期通报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网运行率、设备故障、运维情况及信息网络运行情况等。请各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地震台、监测中心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认真对照通报结果，总结经验、查找不足，及时解决通报中指出的问题，切实保障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地震监测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网连续、可靠运行。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把台网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观测质量、运维管理情况纳入年度综合考核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地震监测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网分级分类管理统计表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sz w:val="104"/>
          <w:szCs w:val="10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142875</wp:posOffset>
            </wp:positionV>
            <wp:extent cx="1511935" cy="1499870"/>
            <wp:effectExtent l="0" t="0" r="12065" b="5080"/>
            <wp:wrapNone/>
            <wp:docPr id="2" name="图片 2" descr="уб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уб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34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宿州市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2023年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984" w:right="1474" w:bottom="1417" w:left="147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left"/>
        <w:rPr>
          <w:rFonts w:ascii="华文中宋" w:hAnsi="华文中宋" w:eastAsia="华文中宋" w:cs="方正公文小标宋"/>
          <w:b/>
          <w:bCs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地震监测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网分级分类管理统计表</w:t>
      </w:r>
    </w:p>
    <w:p>
      <w:pPr>
        <w:jc w:val="center"/>
        <w:rPr>
          <w:rFonts w:hint="eastAsia" w:ascii="华文中宋" w:hAnsi="华文中宋" w:eastAsia="华文中宋" w:cs="方正公文小标宋"/>
          <w:b/>
          <w:bCs/>
          <w:sz w:val="44"/>
          <w:szCs w:val="44"/>
        </w:rPr>
      </w:pPr>
    </w:p>
    <w:tbl>
      <w:tblPr>
        <w:tblStyle w:val="29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475"/>
        <w:gridCol w:w="869"/>
        <w:gridCol w:w="2409"/>
        <w:gridCol w:w="1843"/>
        <w:gridCol w:w="791"/>
        <w:gridCol w:w="992"/>
        <w:gridCol w:w="1002"/>
        <w:gridCol w:w="156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台站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名称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台站代码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责任单位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观测项目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网络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信道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是否实施标准化改造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是否为预警台站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负责人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备注（是否参加全国、全省评比）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宿州市地震台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34028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宿州市地震局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测震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叶凌燕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参加全省评比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泗县地震台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34029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泗县应急管理局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测震、形变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普通光缆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  宇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参加全国评比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萧县地震台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34030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萧县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地震</w:t>
            </w:r>
            <w:r>
              <w:rPr>
                <w:rFonts w:hint="eastAsia" w:ascii="宋体" w:hAnsi="宋体" w:eastAsia="宋体" w:cs="宋体"/>
                <w:sz w:val="24"/>
              </w:rPr>
              <w:t>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测震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普通光缆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陈冰清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参加全省评比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灵璧县地震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监测中心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34110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灵璧县应急管理局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形变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普通光缆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汪  茹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参加全省评比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砀山县地震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监测中心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34098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砀山县管理应急局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形变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普通光缆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  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试运行</w:t>
            </w:r>
          </w:p>
        </w:tc>
      </w:tr>
    </w:tbl>
    <w:p>
      <w:pPr>
        <w:rPr>
          <w:rFonts w:ascii="黑体" w:hAnsi="黑体" w:eastAsia="黑体" w:cs="宋体"/>
          <w:bCs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540F23-1A02-4A02-AFE1-1DFABDCE13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4C9FEFE-3C63-4B02-870B-05A44585BFD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6F87442-6083-41D5-B98F-8FBBAA6B8C9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0983106-8AC7-42B8-A300-EB7B61E8C5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9EBCA31-C57B-4A71-9DF4-A488B040279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B4DABF48-89DA-40B4-B8F1-DA80F35B23B4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  <w:embedRegular r:id="rId7" w:fontKey="{BD801EB3-B722-4A53-B367-2E2C079937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3MWIwMzkwMDFkY2YyMDNkZWRlOGRjOWE1YzZkNjEifQ=="/>
  </w:docVars>
  <w:rsids>
    <w:rsidRoot w:val="00917680"/>
    <w:rsid w:val="000253A0"/>
    <w:rsid w:val="0004180E"/>
    <w:rsid w:val="00072481"/>
    <w:rsid w:val="000E0DEC"/>
    <w:rsid w:val="000E286D"/>
    <w:rsid w:val="001006D1"/>
    <w:rsid w:val="00146607"/>
    <w:rsid w:val="00150D54"/>
    <w:rsid w:val="00174240"/>
    <w:rsid w:val="00206488"/>
    <w:rsid w:val="00220ECD"/>
    <w:rsid w:val="00293078"/>
    <w:rsid w:val="002966B5"/>
    <w:rsid w:val="002B4981"/>
    <w:rsid w:val="002C1604"/>
    <w:rsid w:val="002F0318"/>
    <w:rsid w:val="003255F8"/>
    <w:rsid w:val="003559AD"/>
    <w:rsid w:val="003C47FE"/>
    <w:rsid w:val="0042344A"/>
    <w:rsid w:val="004D2B65"/>
    <w:rsid w:val="00542CE1"/>
    <w:rsid w:val="00593311"/>
    <w:rsid w:val="00593984"/>
    <w:rsid w:val="005A75F1"/>
    <w:rsid w:val="005D155D"/>
    <w:rsid w:val="006B28DB"/>
    <w:rsid w:val="006C6531"/>
    <w:rsid w:val="006D5FBB"/>
    <w:rsid w:val="006E32D4"/>
    <w:rsid w:val="006F73A7"/>
    <w:rsid w:val="007179F9"/>
    <w:rsid w:val="00794D00"/>
    <w:rsid w:val="007C2B19"/>
    <w:rsid w:val="007F0E20"/>
    <w:rsid w:val="007F7C4A"/>
    <w:rsid w:val="00870850"/>
    <w:rsid w:val="00886338"/>
    <w:rsid w:val="008C0AE4"/>
    <w:rsid w:val="00917680"/>
    <w:rsid w:val="00927D73"/>
    <w:rsid w:val="00930CDF"/>
    <w:rsid w:val="00A03C15"/>
    <w:rsid w:val="00A176FA"/>
    <w:rsid w:val="00B65C76"/>
    <w:rsid w:val="00B8007D"/>
    <w:rsid w:val="00BB10D0"/>
    <w:rsid w:val="00BB7E01"/>
    <w:rsid w:val="00BC0A42"/>
    <w:rsid w:val="00BC5AE9"/>
    <w:rsid w:val="00BF7B5E"/>
    <w:rsid w:val="00C12C19"/>
    <w:rsid w:val="00C17FA5"/>
    <w:rsid w:val="00CD4443"/>
    <w:rsid w:val="00CE5086"/>
    <w:rsid w:val="00D23F6D"/>
    <w:rsid w:val="00D33DC5"/>
    <w:rsid w:val="00DF4B7D"/>
    <w:rsid w:val="00E13B14"/>
    <w:rsid w:val="00E7390D"/>
    <w:rsid w:val="00F04389"/>
    <w:rsid w:val="00F5013C"/>
    <w:rsid w:val="00FE56F8"/>
    <w:rsid w:val="02CA547E"/>
    <w:rsid w:val="04491DAE"/>
    <w:rsid w:val="048B5BE2"/>
    <w:rsid w:val="05465FAD"/>
    <w:rsid w:val="05553F6F"/>
    <w:rsid w:val="06021ED4"/>
    <w:rsid w:val="06D721B0"/>
    <w:rsid w:val="072A7934"/>
    <w:rsid w:val="08597DA5"/>
    <w:rsid w:val="08E12275"/>
    <w:rsid w:val="095926D5"/>
    <w:rsid w:val="0F6459AD"/>
    <w:rsid w:val="0FCD5301"/>
    <w:rsid w:val="10EF74F9"/>
    <w:rsid w:val="11C26B4C"/>
    <w:rsid w:val="12062A8A"/>
    <w:rsid w:val="12176D07"/>
    <w:rsid w:val="13BC6766"/>
    <w:rsid w:val="13DF5603"/>
    <w:rsid w:val="16DA6555"/>
    <w:rsid w:val="16EE03E2"/>
    <w:rsid w:val="19E00326"/>
    <w:rsid w:val="1A654388"/>
    <w:rsid w:val="20250841"/>
    <w:rsid w:val="26290229"/>
    <w:rsid w:val="2725381D"/>
    <w:rsid w:val="27FA0805"/>
    <w:rsid w:val="29084E3B"/>
    <w:rsid w:val="29EE439A"/>
    <w:rsid w:val="2A1262DA"/>
    <w:rsid w:val="2AF36168"/>
    <w:rsid w:val="2BBD4024"/>
    <w:rsid w:val="2D496805"/>
    <w:rsid w:val="2DC04513"/>
    <w:rsid w:val="2E660AA3"/>
    <w:rsid w:val="2EC90F31"/>
    <w:rsid w:val="2F130E18"/>
    <w:rsid w:val="2F7C41F6"/>
    <w:rsid w:val="30DA4C3D"/>
    <w:rsid w:val="316513E5"/>
    <w:rsid w:val="32792DC0"/>
    <w:rsid w:val="33044C2E"/>
    <w:rsid w:val="331A7FAD"/>
    <w:rsid w:val="33CC574C"/>
    <w:rsid w:val="344F012B"/>
    <w:rsid w:val="34B65C39"/>
    <w:rsid w:val="34D91BE1"/>
    <w:rsid w:val="36C22E36"/>
    <w:rsid w:val="36E77DE2"/>
    <w:rsid w:val="37B207B5"/>
    <w:rsid w:val="394A0301"/>
    <w:rsid w:val="39FC665F"/>
    <w:rsid w:val="3A43428E"/>
    <w:rsid w:val="3ABB02C8"/>
    <w:rsid w:val="3C5E0F0B"/>
    <w:rsid w:val="3D1E68EC"/>
    <w:rsid w:val="3DD23BF8"/>
    <w:rsid w:val="404B17A6"/>
    <w:rsid w:val="406F399A"/>
    <w:rsid w:val="412F10C8"/>
    <w:rsid w:val="42C10446"/>
    <w:rsid w:val="436A4639"/>
    <w:rsid w:val="457A48DC"/>
    <w:rsid w:val="48895562"/>
    <w:rsid w:val="4964361E"/>
    <w:rsid w:val="4FE34FB7"/>
    <w:rsid w:val="51087240"/>
    <w:rsid w:val="52326C6A"/>
    <w:rsid w:val="525F10E1"/>
    <w:rsid w:val="53E93ADE"/>
    <w:rsid w:val="541505F1"/>
    <w:rsid w:val="5429049D"/>
    <w:rsid w:val="55C1250C"/>
    <w:rsid w:val="579730CB"/>
    <w:rsid w:val="590E7029"/>
    <w:rsid w:val="593B28A8"/>
    <w:rsid w:val="5A2275C4"/>
    <w:rsid w:val="5AE82005"/>
    <w:rsid w:val="5C912BE5"/>
    <w:rsid w:val="5CFF599B"/>
    <w:rsid w:val="5DD6557A"/>
    <w:rsid w:val="5FA42829"/>
    <w:rsid w:val="62C31218"/>
    <w:rsid w:val="635822A8"/>
    <w:rsid w:val="67CB3049"/>
    <w:rsid w:val="68391CA2"/>
    <w:rsid w:val="689E69AF"/>
    <w:rsid w:val="68FE51D1"/>
    <w:rsid w:val="698C2CAC"/>
    <w:rsid w:val="6C506213"/>
    <w:rsid w:val="73C516E7"/>
    <w:rsid w:val="7443040B"/>
    <w:rsid w:val="74DD616A"/>
    <w:rsid w:val="767E4D6C"/>
    <w:rsid w:val="77635031"/>
    <w:rsid w:val="777F79AC"/>
    <w:rsid w:val="77BA4E88"/>
    <w:rsid w:val="79C13617"/>
    <w:rsid w:val="7AD4000F"/>
    <w:rsid w:val="7BFD018A"/>
    <w:rsid w:val="7CD04806"/>
    <w:rsid w:val="7CF1148D"/>
    <w:rsid w:val="7D3923AB"/>
    <w:rsid w:val="7D4274B2"/>
    <w:rsid w:val="7EB663A9"/>
    <w:rsid w:val="7F6F6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6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6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keepNext/>
      <w:keepLines/>
      <w:widowControl/>
      <w:outlineLvl w:val="0"/>
    </w:pPr>
    <w:rPr>
      <w:rFonts w:eastAsia="Times New Roman"/>
      <w:b/>
      <w:kern w:val="0"/>
      <w:sz w:val="36"/>
      <w:szCs w:val="36"/>
    </w:rPr>
  </w:style>
  <w:style w:type="paragraph" w:styleId="3">
    <w:name w:val="heading 2"/>
    <w:basedOn w:val="1"/>
    <w:next w:val="1"/>
    <w:link w:val="40"/>
    <w:unhideWhenUsed/>
    <w:qFormat/>
    <w:uiPriority w:val="9"/>
    <w:pPr>
      <w:keepNext/>
      <w:keepLines/>
      <w:widowControl/>
      <w:outlineLvl w:val="1"/>
    </w:pPr>
    <w:rPr>
      <w:rFonts w:ascii="Calibri Light" w:hAnsi="Calibri Light" w:eastAsia="Times New Roman"/>
      <w:b/>
      <w:kern w:val="0"/>
      <w:sz w:val="32"/>
      <w:szCs w:val="32"/>
    </w:rPr>
  </w:style>
  <w:style w:type="paragraph" w:styleId="4">
    <w:name w:val="heading 3"/>
    <w:basedOn w:val="1"/>
    <w:next w:val="1"/>
    <w:link w:val="41"/>
    <w:unhideWhenUsed/>
    <w:qFormat/>
    <w:uiPriority w:val="9"/>
    <w:pPr>
      <w:keepNext/>
      <w:keepLines/>
      <w:widowControl/>
      <w:outlineLvl w:val="2"/>
    </w:pPr>
    <w:rPr>
      <w:rFonts w:eastAsia="Times New Roman"/>
      <w:b/>
      <w:kern w:val="0"/>
      <w:sz w:val="32"/>
      <w:szCs w:val="32"/>
    </w:rPr>
  </w:style>
  <w:style w:type="paragraph" w:styleId="5">
    <w:name w:val="heading 4"/>
    <w:basedOn w:val="1"/>
    <w:next w:val="1"/>
    <w:link w:val="42"/>
    <w:unhideWhenUsed/>
    <w:qFormat/>
    <w:uiPriority w:val="9"/>
    <w:pPr>
      <w:keepNext/>
      <w:keepLines/>
      <w:widowControl/>
      <w:outlineLvl w:val="3"/>
    </w:pPr>
    <w:rPr>
      <w:rFonts w:ascii="Calibri Light" w:hAnsi="Calibri Light" w:eastAsia="Times New Roman"/>
      <w:b/>
      <w:kern w:val="0"/>
      <w:sz w:val="28"/>
      <w:szCs w:val="28"/>
    </w:rPr>
  </w:style>
  <w:style w:type="paragraph" w:styleId="6">
    <w:name w:val="heading 5"/>
    <w:next w:val="1"/>
    <w:link w:val="43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link w:val="44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link w:val="45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link w:val="46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link w:val="47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30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annotation text"/>
    <w:basedOn w:val="1"/>
    <w:link w:val="48"/>
    <w:unhideWhenUsed/>
    <w:qFormat/>
    <w:uiPriority w:val="99"/>
    <w:pPr>
      <w:widowControl/>
      <w:jc w:val="left"/>
    </w:pPr>
    <w:rPr>
      <w:rFonts w:ascii="Calibri" w:hAnsi="Calibri"/>
      <w:kern w:val="0"/>
      <w:szCs w:val="21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6">
    <w:name w:val="Date"/>
    <w:basedOn w:val="1"/>
    <w:next w:val="1"/>
    <w:link w:val="38"/>
    <w:qFormat/>
    <w:uiPriority w:val="99"/>
    <w:pPr>
      <w:ind w:left="100" w:leftChars="2500"/>
    </w:pPr>
  </w:style>
  <w:style w:type="paragraph" w:styleId="17">
    <w:name w:val="Balloon Text"/>
    <w:basedOn w:val="1"/>
    <w:link w:val="49"/>
    <w:unhideWhenUsed/>
    <w:qFormat/>
    <w:uiPriority w:val="0"/>
    <w:pPr>
      <w:widowControl/>
    </w:pPr>
    <w:rPr>
      <w:rFonts w:eastAsia="Times New Roman"/>
      <w:kern w:val="0"/>
      <w:sz w:val="18"/>
      <w:szCs w:val="18"/>
    </w:rPr>
  </w:style>
  <w:style w:type="paragraph" w:styleId="18">
    <w:name w:val="footer"/>
    <w:basedOn w:val="1"/>
    <w:link w:val="50"/>
    <w:unhideWhenUsed/>
    <w:qFormat/>
    <w:uiPriority w:val="0"/>
    <w:pPr>
      <w:widowControl/>
      <w:tabs>
        <w:tab w:val="center" w:pos="4153"/>
        <w:tab w:val="right" w:pos="8306"/>
      </w:tabs>
    </w:pPr>
    <w:rPr>
      <w:rFonts w:ascii="Calibri" w:hAnsi="Calibri"/>
      <w:kern w:val="0"/>
      <w:sz w:val="18"/>
      <w:szCs w:val="18"/>
    </w:rPr>
  </w:style>
  <w:style w:type="paragraph" w:styleId="19">
    <w:name w:val="header"/>
    <w:basedOn w:val="1"/>
    <w:link w:val="51"/>
    <w:unhideWhenUsed/>
    <w:qFormat/>
    <w:uiPriority w:val="0"/>
    <w:pPr>
      <w:widowControl/>
      <w:tabs>
        <w:tab w:val="center" w:pos="4153"/>
        <w:tab w:val="right" w:pos="8306"/>
      </w:tabs>
      <w:jc w:val="center"/>
    </w:pPr>
    <w:rPr>
      <w:rFonts w:ascii="Calibri" w:hAnsi="Calibri"/>
      <w:kern w:val="0"/>
      <w:sz w:val="18"/>
      <w:szCs w:val="18"/>
    </w:rPr>
  </w:style>
  <w:style w:type="paragraph" w:styleId="20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Subtitle"/>
    <w:link w:val="52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3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5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6">
    <w:name w:val="Title"/>
    <w:link w:val="53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paragraph" w:styleId="27">
    <w:name w:val="annotation subject"/>
    <w:basedOn w:val="12"/>
    <w:next w:val="12"/>
    <w:link w:val="54"/>
    <w:unhideWhenUsed/>
    <w:qFormat/>
    <w:uiPriority w:val="99"/>
    <w:rPr>
      <w:b/>
      <w:bCs/>
    </w:rPr>
  </w:style>
  <w:style w:type="table" w:styleId="29">
    <w:name w:val="Table Grid"/>
    <w:basedOn w:val="2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2">
    <w:name w:val="page number"/>
    <w:basedOn w:val="30"/>
    <w:qFormat/>
    <w:uiPriority w:val="0"/>
  </w:style>
  <w:style w:type="character" w:styleId="33">
    <w:name w:val="FollowedHyperlink"/>
    <w:basedOn w:val="30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4">
    <w:name w:val="Emphasis"/>
    <w:qFormat/>
    <w:uiPriority w:val="20"/>
    <w:rPr>
      <w:i/>
      <w:w w:val="100"/>
      <w:sz w:val="21"/>
      <w:szCs w:val="21"/>
      <w:shd w:val="clear" w:color="auto" w:fill="auto"/>
    </w:rPr>
  </w:style>
  <w:style w:type="character" w:styleId="35">
    <w:name w:val="Hyperlink"/>
    <w:basedOn w:val="30"/>
    <w:unhideWhenUsed/>
    <w:qFormat/>
    <w:uiPriority w:val="99"/>
    <w:rPr>
      <w:color w:val="0000FF"/>
      <w:u w:val="single"/>
    </w:rPr>
  </w:style>
  <w:style w:type="character" w:styleId="36">
    <w:name w:val="annotation reference"/>
    <w:basedOn w:val="30"/>
    <w:unhideWhenUsed/>
    <w:qFormat/>
    <w:uiPriority w:val="99"/>
    <w:rPr>
      <w:sz w:val="21"/>
      <w:szCs w:val="21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character" w:customStyle="1" w:styleId="38">
    <w:name w:val="日期 字符"/>
    <w:basedOn w:val="30"/>
    <w:link w:val="16"/>
    <w:qFormat/>
    <w:uiPriority w:val="99"/>
    <w:rPr>
      <w:kern w:val="2"/>
      <w:sz w:val="21"/>
      <w:szCs w:val="24"/>
    </w:rPr>
  </w:style>
  <w:style w:type="character" w:customStyle="1" w:styleId="39">
    <w:name w:val="标题 1 字符"/>
    <w:basedOn w:val="30"/>
    <w:link w:val="2"/>
    <w:qFormat/>
    <w:uiPriority w:val="9"/>
    <w:rPr>
      <w:rFonts w:eastAsia="Times New Roman"/>
      <w:b/>
      <w:sz w:val="36"/>
      <w:szCs w:val="36"/>
    </w:rPr>
  </w:style>
  <w:style w:type="character" w:customStyle="1" w:styleId="40">
    <w:name w:val="标题 2 字符"/>
    <w:basedOn w:val="30"/>
    <w:link w:val="3"/>
    <w:qFormat/>
    <w:uiPriority w:val="9"/>
    <w:rPr>
      <w:rFonts w:ascii="Calibri Light" w:hAnsi="Calibri Light" w:eastAsia="Times New Roman"/>
      <w:b/>
      <w:sz w:val="32"/>
      <w:szCs w:val="32"/>
    </w:rPr>
  </w:style>
  <w:style w:type="character" w:customStyle="1" w:styleId="41">
    <w:name w:val="标题 3 字符"/>
    <w:basedOn w:val="30"/>
    <w:link w:val="4"/>
    <w:qFormat/>
    <w:uiPriority w:val="9"/>
    <w:rPr>
      <w:rFonts w:eastAsia="Times New Roman"/>
      <w:b/>
      <w:sz w:val="32"/>
      <w:szCs w:val="32"/>
    </w:rPr>
  </w:style>
  <w:style w:type="character" w:customStyle="1" w:styleId="42">
    <w:name w:val="标题 4 字符"/>
    <w:basedOn w:val="30"/>
    <w:link w:val="5"/>
    <w:qFormat/>
    <w:uiPriority w:val="9"/>
    <w:rPr>
      <w:rFonts w:ascii="Calibri Light" w:hAnsi="Calibri Light" w:eastAsia="Times New Roman"/>
      <w:b/>
      <w:sz w:val="28"/>
      <w:szCs w:val="28"/>
    </w:rPr>
  </w:style>
  <w:style w:type="character" w:customStyle="1" w:styleId="43">
    <w:name w:val="标题 5 字符"/>
    <w:basedOn w:val="30"/>
    <w:link w:val="6"/>
    <w:qFormat/>
    <w:uiPriority w:val="11"/>
    <w:rPr>
      <w:rFonts w:ascii="Calibri" w:hAnsi="Calibri"/>
      <w:sz w:val="21"/>
      <w:szCs w:val="21"/>
    </w:rPr>
  </w:style>
  <w:style w:type="character" w:customStyle="1" w:styleId="44">
    <w:name w:val="标题 6 字符"/>
    <w:basedOn w:val="30"/>
    <w:link w:val="7"/>
    <w:qFormat/>
    <w:uiPriority w:val="12"/>
    <w:rPr>
      <w:rFonts w:ascii="Calibri" w:hAnsi="Calibri"/>
      <w:b/>
      <w:sz w:val="21"/>
      <w:szCs w:val="21"/>
    </w:rPr>
  </w:style>
  <w:style w:type="character" w:customStyle="1" w:styleId="45">
    <w:name w:val="标题 7 字符"/>
    <w:basedOn w:val="30"/>
    <w:link w:val="8"/>
    <w:qFormat/>
    <w:uiPriority w:val="13"/>
    <w:rPr>
      <w:rFonts w:ascii="Calibri" w:hAnsi="Calibri"/>
      <w:sz w:val="21"/>
      <w:szCs w:val="21"/>
    </w:rPr>
  </w:style>
  <w:style w:type="character" w:customStyle="1" w:styleId="46">
    <w:name w:val="标题 8 字符"/>
    <w:basedOn w:val="30"/>
    <w:link w:val="9"/>
    <w:qFormat/>
    <w:uiPriority w:val="14"/>
    <w:rPr>
      <w:rFonts w:ascii="Calibri" w:hAnsi="Calibri"/>
      <w:sz w:val="21"/>
      <w:szCs w:val="21"/>
    </w:rPr>
  </w:style>
  <w:style w:type="character" w:customStyle="1" w:styleId="47">
    <w:name w:val="标题 9 字符"/>
    <w:basedOn w:val="30"/>
    <w:link w:val="10"/>
    <w:qFormat/>
    <w:uiPriority w:val="15"/>
    <w:rPr>
      <w:rFonts w:ascii="Calibri" w:hAnsi="Calibri"/>
      <w:sz w:val="21"/>
      <w:szCs w:val="21"/>
    </w:rPr>
  </w:style>
  <w:style w:type="character" w:customStyle="1" w:styleId="48">
    <w:name w:val="批注文字 字符"/>
    <w:basedOn w:val="30"/>
    <w:link w:val="12"/>
    <w:qFormat/>
    <w:uiPriority w:val="99"/>
    <w:rPr>
      <w:rFonts w:ascii="Calibri" w:hAnsi="Calibri"/>
      <w:sz w:val="21"/>
      <w:szCs w:val="21"/>
    </w:rPr>
  </w:style>
  <w:style w:type="character" w:customStyle="1" w:styleId="49">
    <w:name w:val="批注框文本 字符"/>
    <w:basedOn w:val="30"/>
    <w:link w:val="17"/>
    <w:qFormat/>
    <w:uiPriority w:val="0"/>
    <w:rPr>
      <w:rFonts w:eastAsia="Times New Roman"/>
      <w:sz w:val="18"/>
      <w:szCs w:val="18"/>
    </w:rPr>
  </w:style>
  <w:style w:type="character" w:customStyle="1" w:styleId="50">
    <w:name w:val="页脚 字符"/>
    <w:basedOn w:val="30"/>
    <w:link w:val="18"/>
    <w:qFormat/>
    <w:uiPriority w:val="0"/>
    <w:rPr>
      <w:rFonts w:ascii="Calibri" w:hAnsi="Calibri"/>
      <w:sz w:val="18"/>
      <w:szCs w:val="18"/>
    </w:rPr>
  </w:style>
  <w:style w:type="character" w:customStyle="1" w:styleId="51">
    <w:name w:val="页眉 字符"/>
    <w:basedOn w:val="30"/>
    <w:link w:val="19"/>
    <w:qFormat/>
    <w:uiPriority w:val="0"/>
    <w:rPr>
      <w:rFonts w:ascii="Calibri" w:hAnsi="Calibri"/>
      <w:sz w:val="18"/>
      <w:szCs w:val="18"/>
    </w:rPr>
  </w:style>
  <w:style w:type="character" w:customStyle="1" w:styleId="52">
    <w:name w:val="副标题 字符"/>
    <w:basedOn w:val="30"/>
    <w:link w:val="22"/>
    <w:qFormat/>
    <w:uiPriority w:val="16"/>
    <w:rPr>
      <w:rFonts w:ascii="Calibri" w:hAnsi="Calibri"/>
      <w:sz w:val="24"/>
      <w:szCs w:val="24"/>
    </w:rPr>
  </w:style>
  <w:style w:type="character" w:customStyle="1" w:styleId="53">
    <w:name w:val="标题 字符"/>
    <w:basedOn w:val="30"/>
    <w:link w:val="26"/>
    <w:qFormat/>
    <w:uiPriority w:val="6"/>
    <w:rPr>
      <w:rFonts w:ascii="Calibri" w:hAnsi="Calibri"/>
      <w:b/>
      <w:sz w:val="32"/>
      <w:szCs w:val="32"/>
    </w:rPr>
  </w:style>
  <w:style w:type="character" w:customStyle="1" w:styleId="54">
    <w:name w:val="批注主题 字符"/>
    <w:basedOn w:val="48"/>
    <w:link w:val="27"/>
    <w:qFormat/>
    <w:uiPriority w:val="99"/>
    <w:rPr>
      <w:rFonts w:ascii="Calibri" w:hAnsi="Calibri"/>
      <w:b/>
      <w:bCs/>
      <w:sz w:val="21"/>
      <w:szCs w:val="21"/>
    </w:rPr>
  </w:style>
  <w:style w:type="paragraph" w:customStyle="1" w:styleId="55">
    <w:name w:val="无间隔1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56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57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58">
    <w:name w:val="引用1"/>
    <w:link w:val="59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character" w:customStyle="1" w:styleId="59">
    <w:name w:val="引用 Char"/>
    <w:basedOn w:val="30"/>
    <w:link w:val="58"/>
    <w:qFormat/>
    <w:uiPriority w:val="21"/>
    <w:rPr>
      <w:rFonts w:ascii="Calibri" w:hAnsi="Calibri"/>
      <w:i/>
      <w:color w:val="404040"/>
      <w:sz w:val="21"/>
      <w:szCs w:val="21"/>
    </w:rPr>
  </w:style>
  <w:style w:type="paragraph" w:customStyle="1" w:styleId="60">
    <w:name w:val="明显引用1"/>
    <w:link w:val="61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61">
    <w:name w:val="明显引用 Char"/>
    <w:basedOn w:val="30"/>
    <w:link w:val="60"/>
    <w:qFormat/>
    <w:uiPriority w:val="22"/>
    <w:rPr>
      <w:rFonts w:ascii="Calibri" w:hAnsi="Calibri"/>
      <w:i/>
      <w:color w:val="5B9BD5"/>
      <w:sz w:val="21"/>
      <w:szCs w:val="21"/>
    </w:rPr>
  </w:style>
  <w:style w:type="character" w:customStyle="1" w:styleId="62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63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64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65">
    <w:name w:val="TOC 标题1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paragraph" w:customStyle="1" w:styleId="6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6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6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9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0">
    <w:name w:val="列出段落11"/>
    <w:basedOn w:val="1"/>
    <w:qFormat/>
    <w:uiPriority w:val="34"/>
    <w:pPr>
      <w:ind w:firstLine="420" w:firstLineChars="200"/>
    </w:pPr>
  </w:style>
  <w:style w:type="paragraph" w:customStyle="1" w:styleId="71">
    <w:name w:val="Compact"/>
    <w:basedOn w:val="1"/>
    <w:qFormat/>
    <w:uiPriority w:val="0"/>
    <w:pPr>
      <w:widowControl/>
      <w:spacing w:before="36" w:after="36"/>
    </w:pPr>
    <w:rPr>
      <w:rFonts w:ascii="Calibri" w:hAnsi="Calibri"/>
      <w:kern w:val="0"/>
      <w:szCs w:val="21"/>
    </w:rPr>
  </w:style>
  <w:style w:type="character" w:customStyle="1" w:styleId="72">
    <w:name w:val="font11"/>
    <w:basedOn w:val="30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73">
    <w:name w:val="修订1"/>
    <w:hidden/>
    <w:semiHidden/>
    <w:qFormat/>
    <w:uiPriority w:val="99"/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74">
    <w:name w:val="font21"/>
    <w:basedOn w:val="3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837</Words>
  <Characters>861</Characters>
  <Lines>28</Lines>
  <Paragraphs>18</Paragraphs>
  <TotalTime>0</TotalTime>
  <ScaleCrop>false</ScaleCrop>
  <LinksUpToDate>false</LinksUpToDate>
  <CharactersWithSpaces>938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2023-05-11T08:19:00Z</dcterms:created>
  <dc:creator>10040</dc:creator>
  <cp:lastModifiedBy>Capt1</cp:lastModifiedBy>
  <cp:lastPrinted>2023-06-12T09:23:00Z</cp:lastPrinted>
  <dcterms:modified xsi:type="dcterms:W3CDTF">2023-06-13T01:42:02Z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7BDC70017AF5404FB08FD96218B8B6BB_13</vt:lpwstr>
  </property>
  <property fmtid="{D5CDD505-2E9C-101B-9397-08002B2CF9AE}" pid="3" name="KSOProductBuildVer">
    <vt:lpwstr>2052-11.1.0.14036</vt:lpwstr>
  </property>
</Properties>
</file>