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1706A">
      <w:pPr>
        <w:spacing w:before="140" w:line="222" w:lineRule="auto"/>
        <w:jc w:val="both"/>
        <w:rPr>
          <w:rFonts w:hint="eastAsia" w:ascii="方正黑体_GBK" w:hAnsi="方正黑体_GBK" w:eastAsia="方正黑体_GBK" w:cs="方正黑体_GBK"/>
          <w:b w:val="0"/>
          <w:bCs w:val="0"/>
          <w:spacing w:val="4"/>
          <w:sz w:val="32"/>
          <w:szCs w:val="32"/>
          <w:lang w:val="en-US" w:eastAsia="zh-CN"/>
        </w:rPr>
      </w:pPr>
      <w:r>
        <w:rPr>
          <w:rFonts w:hint="eastAsia" w:ascii="方正黑体_GBK" w:hAnsi="方正黑体_GBK" w:eastAsia="方正黑体_GBK" w:cs="方正黑体_GBK"/>
          <w:b w:val="0"/>
          <w:bCs w:val="0"/>
          <w:spacing w:val="4"/>
          <w:sz w:val="32"/>
          <w:szCs w:val="32"/>
          <w:lang w:val="en-US" w:eastAsia="zh-CN"/>
        </w:rPr>
        <w:t>附件</w:t>
      </w:r>
    </w:p>
    <w:p w14:paraId="71BDCEBD">
      <w:pPr>
        <w:spacing w:before="140" w:line="222"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lang w:val="en-US" w:eastAsia="zh-CN"/>
        </w:rPr>
        <w:t>宿州市</w:t>
      </w:r>
      <w:r>
        <w:rPr>
          <w:rFonts w:hint="eastAsia" w:ascii="方正小标宋_GBK" w:hAnsi="方正小标宋_GBK" w:eastAsia="方正小标宋_GBK" w:cs="方正小标宋_GBK"/>
          <w:b w:val="0"/>
          <w:bCs w:val="0"/>
          <w:spacing w:val="4"/>
          <w:sz w:val="44"/>
          <w:szCs w:val="44"/>
        </w:rPr>
        <w:t>“十五五”防震减灾规划</w:t>
      </w:r>
    </w:p>
    <w:p w14:paraId="489377F7">
      <w:pPr>
        <w:spacing w:line="252" w:lineRule="auto"/>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征求意见稿</w:t>
      </w:r>
      <w:r>
        <w:rPr>
          <w:rFonts w:hint="eastAsia" w:ascii="方正楷体_GBK" w:hAnsi="方正楷体_GBK" w:eastAsia="方正楷体_GBK" w:cs="方正楷体_GBK"/>
          <w:sz w:val="32"/>
          <w:szCs w:val="32"/>
          <w:lang w:eastAsia="zh-CN"/>
        </w:rPr>
        <w:t>）</w:t>
      </w:r>
    </w:p>
    <w:p w14:paraId="683E0EA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napToGrid/>
          <w:color w:val="auto"/>
          <w:kern w:val="2"/>
          <w:sz w:val="32"/>
          <w:szCs w:val="32"/>
          <w:lang w:val="en-US" w:eastAsia="zh-CN"/>
        </w:rPr>
      </w:pPr>
    </w:p>
    <w:p w14:paraId="1E0089ED">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一、引言部分</w:t>
      </w:r>
    </w:p>
    <w:p w14:paraId="672B578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防震减灾是国家公共安全的重要组成部分，事关人民生命财产安全和社会和谐稳定</w:t>
      </w:r>
      <w:r>
        <w:rPr>
          <w:rFonts w:hint="eastAsia" w:ascii="Times New Roman" w:hAnsi="Times New Roman" w:eastAsia="方正仿宋_GBK" w:cs="Times New Roman"/>
          <w:snapToGrid/>
          <w:color w:val="auto"/>
          <w:kern w:val="2"/>
          <w:sz w:val="32"/>
          <w:szCs w:val="32"/>
          <w:highlight w:val="none"/>
          <w:lang w:val="en-US" w:eastAsia="zh-CN"/>
        </w:rPr>
        <w:t>。为深入贯彻落实习近平总书记防震减灾救灾重要指示批示和考察安徽重要讲话精神，加快推进新时代防震减灾事业现代化，</w:t>
      </w:r>
      <w:r>
        <w:rPr>
          <w:rFonts w:hint="default" w:ascii="Times New Roman" w:hAnsi="Times New Roman" w:eastAsia="方正仿宋_GBK" w:cs="Times New Roman"/>
          <w:snapToGrid/>
          <w:color w:val="auto"/>
          <w:kern w:val="2"/>
          <w:sz w:val="32"/>
          <w:szCs w:val="32"/>
          <w:highlight w:val="none"/>
          <w:lang w:val="en-US" w:eastAsia="zh-CN"/>
        </w:rPr>
        <w:t>回答好</w:t>
      </w:r>
      <w:r>
        <w:rPr>
          <w:rFonts w:hint="eastAsia" w:ascii="Times New Roman" w:hAnsi="Times New Roman" w:eastAsia="方正仿宋_GBK" w:cs="Times New Roman"/>
          <w:snapToGrid/>
          <w:color w:val="auto"/>
          <w:kern w:val="2"/>
          <w:sz w:val="32"/>
          <w:szCs w:val="32"/>
          <w:highlight w:val="none"/>
          <w:lang w:val="en-US" w:eastAsia="zh-CN"/>
        </w:rPr>
        <w:t>习近平总书记</w:t>
      </w:r>
      <w:r>
        <w:rPr>
          <w:rFonts w:hint="default" w:ascii="Times New Roman" w:hAnsi="Times New Roman" w:eastAsia="方正仿宋_GBK" w:cs="Times New Roman"/>
          <w:snapToGrid/>
          <w:color w:val="auto"/>
          <w:kern w:val="2"/>
          <w:sz w:val="32"/>
          <w:szCs w:val="32"/>
          <w:highlight w:val="none"/>
          <w:lang w:val="en-US" w:eastAsia="zh-CN"/>
        </w:rPr>
        <w:t>“大震之问”，</w:t>
      </w:r>
      <w:r>
        <w:rPr>
          <w:rFonts w:hint="eastAsia" w:ascii="Times New Roman" w:hAnsi="Times New Roman" w:eastAsia="方正仿宋_GBK" w:cs="Times New Roman"/>
          <w:snapToGrid/>
          <w:color w:val="auto"/>
          <w:kern w:val="2"/>
          <w:sz w:val="32"/>
          <w:szCs w:val="32"/>
          <w:highlight w:val="none"/>
          <w:lang w:val="en-US" w:eastAsia="zh-CN"/>
        </w:rPr>
        <w:t>进一步</w:t>
      </w:r>
      <w:r>
        <w:rPr>
          <w:rFonts w:hint="default" w:ascii="Times New Roman" w:hAnsi="Times New Roman" w:eastAsia="方正仿宋_GBK" w:cs="Times New Roman"/>
          <w:snapToGrid/>
          <w:color w:val="auto"/>
          <w:kern w:val="2"/>
          <w:sz w:val="32"/>
          <w:szCs w:val="32"/>
          <w:highlight w:val="none"/>
          <w:lang w:val="en-US" w:eastAsia="zh-CN"/>
        </w:rPr>
        <w:t>提高</w:t>
      </w:r>
      <w:r>
        <w:rPr>
          <w:rFonts w:hint="eastAsia" w:ascii="Times New Roman" w:hAnsi="Times New Roman" w:eastAsia="方正仿宋_GBK" w:cs="Times New Roman"/>
          <w:snapToGrid/>
          <w:color w:val="auto"/>
          <w:kern w:val="2"/>
          <w:sz w:val="32"/>
          <w:szCs w:val="32"/>
          <w:highlight w:val="none"/>
          <w:lang w:val="en-US" w:eastAsia="zh-CN"/>
        </w:rPr>
        <w:t>全市</w:t>
      </w:r>
      <w:r>
        <w:rPr>
          <w:rFonts w:hint="default" w:ascii="Times New Roman" w:hAnsi="Times New Roman" w:eastAsia="方正仿宋_GBK" w:cs="Times New Roman"/>
          <w:snapToGrid/>
          <w:color w:val="auto"/>
          <w:kern w:val="2"/>
          <w:sz w:val="32"/>
          <w:szCs w:val="32"/>
          <w:highlight w:val="none"/>
          <w:lang w:val="en-US" w:eastAsia="zh-CN"/>
        </w:rPr>
        <w:t>地震灾害风险防治能力，防范化解地震灾害风险，根据《中华人民共和国防震减灾法》《安徽省防震减灾条例》《宿州市国民经济和社会发展第十五个五年规划纲要》等规定，结合我</w:t>
      </w:r>
      <w:r>
        <w:rPr>
          <w:rFonts w:hint="eastAsia" w:ascii="Times New Roman" w:hAnsi="Times New Roman" w:eastAsia="方正仿宋_GBK" w:cs="Times New Roman"/>
          <w:snapToGrid/>
          <w:color w:val="auto"/>
          <w:kern w:val="2"/>
          <w:sz w:val="32"/>
          <w:szCs w:val="32"/>
          <w:highlight w:val="none"/>
          <w:lang w:val="en-US" w:eastAsia="zh-CN"/>
        </w:rPr>
        <w:t>市</w:t>
      </w:r>
      <w:r>
        <w:rPr>
          <w:rFonts w:hint="default" w:ascii="Times New Roman" w:hAnsi="Times New Roman" w:eastAsia="方正仿宋_GBK" w:cs="Times New Roman"/>
          <w:snapToGrid/>
          <w:color w:val="auto"/>
          <w:kern w:val="2"/>
          <w:sz w:val="32"/>
          <w:szCs w:val="32"/>
          <w:highlight w:val="none"/>
          <w:lang w:val="en-US" w:eastAsia="zh-CN"/>
        </w:rPr>
        <w:t>实际，制定本规划。规划期为2026-2030年。</w:t>
      </w:r>
    </w:p>
    <w:p w14:paraId="2F8ACBDD">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二、防震减灾事业发展环境</w:t>
      </w:r>
    </w:p>
    <w:p w14:paraId="7D60FA6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（一）“十四五”时期发展主要成效</w:t>
      </w:r>
    </w:p>
    <w:p w14:paraId="19EAFB13">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“十四五”时期，在宿州市委、市政府</w:t>
      </w:r>
      <w:r>
        <w:rPr>
          <w:rFonts w:hint="eastAsia" w:ascii="Times New Roman" w:hAnsi="Times New Roman" w:eastAsia="方正仿宋_GBK" w:cs="Times New Roman"/>
          <w:snapToGrid/>
          <w:color w:val="auto"/>
          <w:kern w:val="2"/>
          <w:sz w:val="32"/>
          <w:szCs w:val="32"/>
          <w:highlight w:val="none"/>
          <w:lang w:val="en-US" w:eastAsia="zh-CN"/>
        </w:rPr>
        <w:t>的坚强领导和安徽省地震局的有力指导下，</w:t>
      </w:r>
      <w:r>
        <w:rPr>
          <w:rFonts w:hint="default" w:ascii="Times New Roman" w:hAnsi="Times New Roman" w:eastAsia="方正仿宋_GBK" w:cs="Times New Roman"/>
          <w:snapToGrid/>
          <w:color w:val="auto"/>
          <w:kern w:val="2"/>
          <w:sz w:val="32"/>
          <w:szCs w:val="32"/>
          <w:highlight w:val="none"/>
          <w:lang w:val="en-US" w:eastAsia="zh-CN"/>
        </w:rPr>
        <w:t>全市上下坚持“人民至上、生命至上”理念，统筹发展和安全，系统推进防震减灾治理体系和治理能力现代化，高质量发展成效显著，呈现“机制更优、监测更精、防治更实、应急更快、科普更广”的良好态势。</w:t>
      </w:r>
    </w:p>
    <w:p w14:paraId="66F90AA2">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1.治理体系持续健全，统筹协同效能跃升。</w:t>
      </w:r>
      <w:r>
        <w:rPr>
          <w:rFonts w:hint="default" w:ascii="Times New Roman" w:hAnsi="Times New Roman" w:eastAsia="方正仿宋_GBK" w:cs="Times New Roman"/>
          <w:snapToGrid/>
          <w:color w:val="auto"/>
          <w:kern w:val="2"/>
          <w:sz w:val="32"/>
          <w:szCs w:val="32"/>
          <w:highlight w:val="none"/>
          <w:lang w:val="en-US" w:eastAsia="zh-CN"/>
        </w:rPr>
        <w:t>坚持高位统筹与基层落实双向发力，</w:t>
      </w:r>
      <w:r>
        <w:rPr>
          <w:rFonts w:hint="eastAsia" w:ascii="Times New Roman" w:hAnsi="Times New Roman" w:eastAsia="方正仿宋_GBK" w:cs="Times New Roman"/>
          <w:snapToGrid/>
          <w:color w:val="auto"/>
          <w:kern w:val="2"/>
          <w:sz w:val="32"/>
          <w:szCs w:val="32"/>
          <w:highlight w:val="none"/>
          <w:lang w:val="en-US" w:eastAsia="zh-CN"/>
        </w:rPr>
        <w:t>以市政府名义印发实施《关于进一步加强防震减灾救灾工作的意见》。</w:t>
      </w:r>
      <w:r>
        <w:rPr>
          <w:rFonts w:hint="default" w:ascii="Times New Roman" w:hAnsi="Times New Roman" w:eastAsia="方正仿宋_GBK" w:cs="Times New Roman"/>
          <w:snapToGrid/>
          <w:color w:val="auto"/>
          <w:kern w:val="2"/>
          <w:sz w:val="32"/>
          <w:szCs w:val="32"/>
          <w:highlight w:val="none"/>
          <w:lang w:val="en-US" w:eastAsia="zh-CN"/>
        </w:rPr>
        <w:t>防</w:t>
      </w:r>
      <w:r>
        <w:rPr>
          <w:rFonts w:hint="eastAsia" w:ascii="Times New Roman" w:hAnsi="Times New Roman" w:eastAsia="方正仿宋_GBK" w:cs="Times New Roman"/>
          <w:snapToGrid/>
          <w:color w:val="auto"/>
          <w:kern w:val="2"/>
          <w:sz w:val="32"/>
          <w:szCs w:val="32"/>
          <w:highlight w:val="none"/>
          <w:lang w:val="en-US" w:eastAsia="zh-CN"/>
        </w:rPr>
        <w:t>震</w:t>
      </w:r>
      <w:r>
        <w:rPr>
          <w:rFonts w:hint="default" w:ascii="Times New Roman" w:hAnsi="Times New Roman" w:eastAsia="方正仿宋_GBK" w:cs="Times New Roman"/>
          <w:snapToGrid/>
          <w:color w:val="auto"/>
          <w:kern w:val="2"/>
          <w:sz w:val="32"/>
          <w:szCs w:val="32"/>
          <w:highlight w:val="none"/>
          <w:lang w:val="en-US" w:eastAsia="zh-CN"/>
        </w:rPr>
        <w:t>减灾救灾统筹协调机制不断强化，</w:t>
      </w:r>
      <w:r>
        <w:rPr>
          <w:rFonts w:hint="eastAsia" w:ascii="Times New Roman" w:hAnsi="Times New Roman" w:eastAsia="方正仿宋_GBK" w:cs="Times New Roman"/>
          <w:snapToGrid/>
          <w:color w:val="auto"/>
          <w:kern w:val="2"/>
          <w:sz w:val="32"/>
          <w:szCs w:val="32"/>
          <w:highlight w:val="none"/>
          <w:lang w:val="en-US" w:eastAsia="zh-CN"/>
        </w:rPr>
        <w:t>市地震局与市文物局等多家单位签订战略合作框架协议，</w:t>
      </w:r>
      <w:r>
        <w:rPr>
          <w:rFonts w:hint="default" w:ascii="Times New Roman" w:hAnsi="Times New Roman" w:eastAsia="方正仿宋_GBK" w:cs="Times New Roman"/>
          <w:snapToGrid/>
          <w:color w:val="auto"/>
          <w:kern w:val="2"/>
          <w:sz w:val="32"/>
          <w:szCs w:val="32"/>
          <w:highlight w:val="none"/>
          <w:lang w:val="en-US" w:eastAsia="zh-CN"/>
        </w:rPr>
        <w:t>跨部门协同联动、跨层级信息共享的工作格局更加完善。严格落实防震减灾法律法规规章及技术标准，将法治要求贯穿监测预警、风险防控、应急准备全过程。创新构建“日报告、周巡检、月会商、季演练、年竞赛”全周期管理机制，通过清单化明责、项目化推进、责任化落实，推动防震减灾工作从“有机制”向“见实效”跃升。积极推动各县</w:t>
      </w:r>
      <w:r>
        <w:rPr>
          <w:rFonts w:hint="eastAsia" w:ascii="Times New Roman" w:hAnsi="Times New Roman" w:eastAsia="方正仿宋_GBK" w:cs="Times New Roman"/>
          <w:snapToGrid/>
          <w:color w:val="auto"/>
          <w:kern w:val="2"/>
          <w:sz w:val="32"/>
          <w:szCs w:val="32"/>
          <w:highlight w:val="none"/>
          <w:lang w:val="en-US" w:eastAsia="zh-CN"/>
        </w:rPr>
        <w:t>（区）</w:t>
      </w:r>
      <w:r>
        <w:rPr>
          <w:rFonts w:hint="default" w:ascii="Times New Roman" w:hAnsi="Times New Roman" w:eastAsia="方正仿宋_GBK" w:cs="Times New Roman"/>
          <w:snapToGrid/>
          <w:color w:val="auto"/>
          <w:kern w:val="2"/>
          <w:sz w:val="32"/>
          <w:szCs w:val="32"/>
          <w:highlight w:val="none"/>
          <w:lang w:val="en-US" w:eastAsia="zh-CN"/>
        </w:rPr>
        <w:t>将防震减灾工作纳入重要议事日程，实现“四个纳入”的全覆盖。健全震情跟踪动态监测体系，精准开展重要时段、重大活动地震安全保障服务，为全市经济社会高质量发展筑牢安全屏障。</w:t>
      </w:r>
    </w:p>
    <w:p w14:paraId="3F44F46D">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2.监测能力显著提升，预警网络织密织牢。</w:t>
      </w:r>
      <w:r>
        <w:rPr>
          <w:rFonts w:hint="default" w:ascii="Times New Roman" w:hAnsi="Times New Roman" w:eastAsia="方正仿宋_GBK" w:cs="Times New Roman"/>
          <w:snapToGrid/>
          <w:color w:val="auto"/>
          <w:kern w:val="2"/>
          <w:sz w:val="32"/>
          <w:szCs w:val="32"/>
          <w:highlight w:val="none"/>
          <w:lang w:val="en-US" w:eastAsia="zh-CN"/>
        </w:rPr>
        <w:t>硬件支撑持续强化，完成泗县伸缩仪、水管仪升级更新，新增VP型宽频带倾斜仪、WYY-1气象三要素仪等设备，萧县、灵璧同步增配同类仪器；</w:t>
      </w:r>
      <w:r>
        <w:rPr>
          <w:rFonts w:hint="eastAsia" w:ascii="Times New Roman" w:hAnsi="Times New Roman" w:eastAsia="方正仿宋_GBK" w:cs="Times New Roman"/>
          <w:snapToGrid/>
          <w:color w:val="auto"/>
          <w:kern w:val="2"/>
          <w:sz w:val="32"/>
          <w:szCs w:val="32"/>
          <w:highlight w:val="none"/>
          <w:lang w:val="en-US" w:eastAsia="zh-CN"/>
        </w:rPr>
        <w:t>市级</w:t>
      </w:r>
      <w:r>
        <w:rPr>
          <w:rFonts w:hint="default" w:ascii="Times New Roman" w:hAnsi="Times New Roman" w:eastAsia="方正仿宋_GBK" w:cs="Times New Roman"/>
          <w:snapToGrid/>
          <w:color w:val="auto"/>
          <w:kern w:val="2"/>
          <w:sz w:val="32"/>
          <w:szCs w:val="32"/>
          <w:highlight w:val="none"/>
          <w:lang w:val="en-US" w:eastAsia="zh-CN"/>
        </w:rPr>
        <w:t>建成地震监测中心及区域小台网系统，实现周边13个测震台站数据实时共享，震情研判精准度大幅提升。预警网络扩面增效，19个预警台站全面建成运行，基本构建</w:t>
      </w:r>
      <w:r>
        <w:rPr>
          <w:rFonts w:hint="eastAsia" w:ascii="Times New Roman" w:hAnsi="Times New Roman" w:eastAsia="方正仿宋_GBK" w:cs="Times New Roman"/>
          <w:snapToGrid/>
          <w:color w:val="auto"/>
          <w:kern w:val="2"/>
          <w:sz w:val="32"/>
          <w:szCs w:val="32"/>
          <w:highlight w:val="none"/>
          <w:lang w:val="en-US" w:eastAsia="zh-CN"/>
        </w:rPr>
        <w:t>起</w:t>
      </w:r>
      <w:r>
        <w:rPr>
          <w:rFonts w:hint="default" w:ascii="Times New Roman" w:hAnsi="Times New Roman" w:eastAsia="方正仿宋_GBK" w:cs="Times New Roman"/>
          <w:snapToGrid/>
          <w:color w:val="auto"/>
          <w:kern w:val="2"/>
          <w:sz w:val="32"/>
          <w:szCs w:val="32"/>
          <w:highlight w:val="none"/>
          <w:lang w:val="en-US" w:eastAsia="zh-CN"/>
        </w:rPr>
        <w:t>全省地震烈度速报与预警网络体系；完成全市5个监测站标准化改造，异常信息捕捉能力显著增强。科技创新成效凸显，与杭州市应急管理局、宿州学院等建立常态化协同机制，联合攻关监测预报技术、地质构造特征等科研课题；深度参与长三角科技合作，2025年“地震智慧信息服务技术平台”获评</w:t>
      </w:r>
      <w:r>
        <w:rPr>
          <w:rFonts w:hint="default" w:ascii="Times New Roman" w:hAnsi="Times New Roman" w:eastAsia="方正仿宋_GBK" w:cs="Times New Roman"/>
          <w:color w:val="auto"/>
          <w:kern w:val="0"/>
          <w:sz w:val="32"/>
          <w:szCs w:val="32"/>
          <w:highlight w:val="none"/>
          <w:lang w:val="en-US" w:eastAsia="zh-CN" w:bidi="ar-SA"/>
        </w:rPr>
        <w:t>省防震减灾</w:t>
      </w:r>
      <w:r>
        <w:rPr>
          <w:rFonts w:hint="default" w:ascii="Times New Roman" w:hAnsi="Times New Roman" w:eastAsia="方正仿宋_GBK" w:cs="Times New Roman"/>
          <w:snapToGrid/>
          <w:color w:val="auto"/>
          <w:kern w:val="2"/>
          <w:sz w:val="32"/>
          <w:szCs w:val="32"/>
          <w:highlight w:val="none"/>
          <w:lang w:val="en-US" w:eastAsia="zh-CN"/>
        </w:rPr>
        <w:t>科学成果二等奖，推动监测预警向数字化、智能化迈进。</w:t>
      </w:r>
    </w:p>
    <w:p w14:paraId="58DCF431">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3.防治防线全面筑牢，风险管控精准精细。</w:t>
      </w:r>
      <w:r>
        <w:rPr>
          <w:rFonts w:hint="default" w:ascii="Times New Roman" w:hAnsi="Times New Roman" w:eastAsia="方正仿宋_GBK" w:cs="Times New Roman"/>
          <w:snapToGrid/>
          <w:color w:val="auto"/>
          <w:kern w:val="2"/>
          <w:sz w:val="32"/>
          <w:szCs w:val="32"/>
          <w:highlight w:val="none"/>
          <w:lang w:val="en-US" w:eastAsia="zh-CN"/>
        </w:rPr>
        <w:t>关键工程攻坚突破，高标准完成宿州城市活动断层探测项目，实现省、市级开发园区区域性地震安全性评价全覆盖，为城乡规划建设提供科学依据。抗震设防从严从实，强化重大建设工程抗震设防管理，严格落实地震安全性评价全流程监管。风险普查底数清晰，圆满完成地震灾害风险普查工程，系统开展</w:t>
      </w:r>
      <w:r>
        <w:rPr>
          <w:rFonts w:hint="eastAsia" w:ascii="Times New Roman" w:hAnsi="Times New Roman" w:eastAsia="方正仿宋_GBK" w:cs="Times New Roman"/>
          <w:snapToGrid/>
          <w:color w:val="auto"/>
          <w:kern w:val="2"/>
          <w:sz w:val="32"/>
          <w:szCs w:val="32"/>
          <w:highlight w:val="none"/>
          <w:lang w:val="en-US" w:eastAsia="zh-CN"/>
        </w:rPr>
        <w:t>县级地震构造环境探查和地震灾害损失预评估</w:t>
      </w:r>
      <w:r>
        <w:rPr>
          <w:rFonts w:hint="default" w:ascii="Times New Roman" w:hAnsi="Times New Roman" w:eastAsia="方正仿宋_GBK" w:cs="Times New Roman"/>
          <w:snapToGrid/>
          <w:color w:val="auto"/>
          <w:kern w:val="2"/>
          <w:sz w:val="32"/>
          <w:szCs w:val="32"/>
          <w:highlight w:val="none"/>
          <w:lang w:val="en-US" w:eastAsia="zh-CN"/>
        </w:rPr>
        <w:t>。加固工程成效显著，高效推动泗县等地震易发区房屋设施加固试点，累计完成农村民居抗震改造1413栋、城镇住宅加固389栋，同步实施校舍、医疗机构、桥梁等抗震加固147座，重点区域抗灾韧性持续增强。</w:t>
      </w:r>
    </w:p>
    <w:p w14:paraId="46F29BA4">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4.应急支撑更加坚实，响应联动高效顺畅。</w:t>
      </w:r>
      <w:r>
        <w:rPr>
          <w:rFonts w:hint="default" w:ascii="Times New Roman" w:hAnsi="Times New Roman" w:eastAsia="方正仿宋_GBK" w:cs="Times New Roman"/>
          <w:snapToGrid/>
          <w:color w:val="auto"/>
          <w:kern w:val="2"/>
          <w:sz w:val="32"/>
          <w:szCs w:val="32"/>
          <w:highlight w:val="none"/>
          <w:lang w:val="en-US" w:eastAsia="zh-CN"/>
        </w:rPr>
        <w:t>建强“两中心”数智中枢，高效运行地震应急指挥中心、地震监测中心，集成应急指挥调度、智能会商研判、地震应急快速响应（辅助决策）等六大数智化系统，实现监测预警、指挥处置全流程闭环管理。深化数据融合应用，搭建地震数据共享服务平台，将抗震设防参数查询、地震灾害风险普查成果等核心数据深度嵌入决策辅助系统，并与政务服务网、工程建设项目审批平台互联互通，构建“一键查参数、一图览风险、一链促联动”的数据共享服务体系，为应急处置提供精准支撑。应急服务提质增效，分层级开展多场景、全要素地震应急演练20余场次，同步优化预案流程、完善成果产出，推动省、市、县三级应急响应联动机制常态化运行，跨层级协同处置能力进一步提升。</w:t>
      </w:r>
    </w:p>
    <w:p w14:paraId="6A66B6C6">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5.科普氛围日益浓厚，公众素养全面提升。</w:t>
      </w:r>
      <w:r>
        <w:rPr>
          <w:rFonts w:hint="eastAsia" w:ascii="Times New Roman" w:hAnsi="Times New Roman" w:eastAsia="方正仿宋_GBK" w:cs="Times New Roman"/>
          <w:b w:val="0"/>
          <w:bCs w:val="0"/>
          <w:snapToGrid/>
          <w:color w:val="auto"/>
          <w:kern w:val="2"/>
          <w:sz w:val="32"/>
          <w:szCs w:val="32"/>
          <w:highlight w:val="none"/>
          <w:lang w:val="en-US" w:eastAsia="zh-CN"/>
        </w:rPr>
        <w:t>科普</w:t>
      </w:r>
      <w:r>
        <w:rPr>
          <w:rFonts w:hint="default" w:ascii="Times New Roman" w:hAnsi="Times New Roman" w:eastAsia="方正仿宋_GBK" w:cs="Times New Roman"/>
          <w:snapToGrid/>
          <w:color w:val="auto"/>
          <w:kern w:val="2"/>
          <w:sz w:val="32"/>
          <w:szCs w:val="32"/>
          <w:highlight w:val="none"/>
          <w:lang w:val="en-US" w:eastAsia="zh-CN"/>
        </w:rPr>
        <w:t>品牌活动精准覆盖，组织开展“地震科普 携手同行”</w:t>
      </w:r>
      <w:r>
        <w:rPr>
          <w:rFonts w:hint="eastAsia" w:ascii="Times New Roman" w:hAnsi="Times New Roman" w:eastAsia="方正仿宋_GBK" w:cs="Times New Roman"/>
          <w:snapToGrid/>
          <w:color w:val="auto"/>
          <w:kern w:val="2"/>
          <w:sz w:val="32"/>
          <w:szCs w:val="32"/>
          <w:highlight w:val="none"/>
          <w:lang w:val="en-US" w:eastAsia="zh-CN"/>
        </w:rPr>
        <w:t>主题活动</w:t>
      </w:r>
      <w:r>
        <w:rPr>
          <w:rFonts w:hint="default" w:ascii="Times New Roman" w:hAnsi="Times New Roman" w:eastAsia="方正仿宋_GBK" w:cs="Times New Roman"/>
          <w:snapToGrid/>
          <w:color w:val="auto"/>
          <w:kern w:val="2"/>
          <w:sz w:val="32"/>
          <w:szCs w:val="32"/>
          <w:highlight w:val="none"/>
          <w:lang w:val="en-US" w:eastAsia="zh-CN"/>
        </w:rPr>
        <w:t>、防震减灾科普讲解大赛、知识竞赛等品牌化活动30余场次，面向学校、社区、企事业单位等群体开展专题宣讲500余场次，总覆盖受众超200万人次，实现科普服务“全领域渗透、全群体触达”。阵地建设特色凸显，以“市级统筹引领、县级特色互补”为思路，</w:t>
      </w:r>
      <w:r>
        <w:rPr>
          <w:rFonts w:hint="eastAsia" w:ascii="Times New Roman" w:hAnsi="Times New Roman" w:eastAsia="方正仿宋_GBK" w:cs="Times New Roman"/>
          <w:snapToGrid/>
          <w:color w:val="auto"/>
          <w:kern w:val="2"/>
          <w:sz w:val="32"/>
          <w:szCs w:val="32"/>
          <w:highlight w:val="none"/>
          <w:lang w:val="en-US" w:eastAsia="zh-CN"/>
        </w:rPr>
        <w:t>建设</w:t>
      </w:r>
      <w:r>
        <w:rPr>
          <w:rFonts w:hint="default" w:ascii="Times New Roman" w:hAnsi="Times New Roman" w:eastAsia="方正仿宋_GBK" w:cs="Times New Roman"/>
          <w:snapToGrid/>
          <w:color w:val="auto"/>
          <w:kern w:val="2"/>
          <w:sz w:val="32"/>
          <w:szCs w:val="32"/>
          <w:highlight w:val="none"/>
          <w:lang w:val="en-US" w:eastAsia="zh-CN"/>
        </w:rPr>
        <w:t>市级综合性科普“智慧馆”，推进灵璧县“社会力量参与运维特色科普馆”、砀山县“科技馆地震科普园”、萧县“校园沉浸式地震科普馆”等县级特色场馆建设，形成“一县一品牌、一馆一亮点”的立体化科普阵地网络；</w:t>
      </w:r>
      <w:r>
        <w:rPr>
          <w:rFonts w:hint="eastAsia" w:ascii="Times New Roman" w:hAnsi="Times New Roman" w:eastAsia="方正仿宋_GBK" w:cs="Times New Roman"/>
          <w:snapToGrid/>
          <w:color w:val="auto"/>
          <w:kern w:val="2"/>
          <w:sz w:val="32"/>
          <w:szCs w:val="32"/>
          <w:highlight w:val="none"/>
          <w:lang w:val="en-US" w:eastAsia="zh-CN"/>
        </w:rPr>
        <w:t>纵深推进</w:t>
      </w:r>
      <w:r>
        <w:rPr>
          <w:rFonts w:hint="default" w:ascii="Times New Roman" w:hAnsi="Times New Roman" w:eastAsia="方正仿宋_GBK" w:cs="Times New Roman"/>
          <w:snapToGrid/>
          <w:color w:val="auto"/>
          <w:kern w:val="2"/>
          <w:sz w:val="32"/>
          <w:szCs w:val="32"/>
          <w:highlight w:val="none"/>
          <w:lang w:val="en-US" w:eastAsia="zh-CN"/>
        </w:rPr>
        <w:t>国家级、省级、市级科普教育基地梯度培育，累计创建国家级1个、省级1个、市级2个；培育国家级科普示范学校2所、省级12所、市级13所，推动科普服务从“阵地覆盖”向“素养提升”</w:t>
      </w:r>
      <w:r>
        <w:rPr>
          <w:rFonts w:hint="eastAsia" w:ascii="Times New Roman" w:hAnsi="Times New Roman" w:eastAsia="方正仿宋_GBK" w:cs="Times New Roman"/>
          <w:snapToGrid/>
          <w:color w:val="auto"/>
          <w:kern w:val="2"/>
          <w:sz w:val="32"/>
          <w:szCs w:val="32"/>
          <w:highlight w:val="none"/>
          <w:lang w:val="en-US" w:eastAsia="zh-CN"/>
        </w:rPr>
        <w:t>深化</w:t>
      </w:r>
      <w:r>
        <w:rPr>
          <w:rFonts w:hint="default" w:ascii="Times New Roman" w:hAnsi="Times New Roman" w:eastAsia="方正仿宋_GBK" w:cs="Times New Roman"/>
          <w:snapToGrid/>
          <w:color w:val="auto"/>
          <w:kern w:val="2"/>
          <w:sz w:val="32"/>
          <w:szCs w:val="32"/>
          <w:highlight w:val="none"/>
          <w:lang w:val="en-US" w:eastAsia="zh-CN"/>
        </w:rPr>
        <w:t>，全社会防震减灾意识显著增强。</w:t>
      </w:r>
    </w:p>
    <w:p w14:paraId="5AC4DDB6">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（二）“十五五”时期防震减灾形势</w:t>
      </w:r>
    </w:p>
    <w:p w14:paraId="4569489A">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十五五”时期是我国实现第二个百年奋斗目标第一阶段任务、迈向2035年基本实现现代化承上启下的关键时期，是我市深入贯彻落实习近平总书记考察安徽重要讲话精神，深度融入长三角一体化发展、加速推进皖北振兴的关键阶段，也是防震减灾工作服务现代化新宿州建设、应对多重风险挑战的战略机遇期。从国家战略全局看，安徽省作为长三角一体化发展、长江经济带建设、中部地区崛起等国家战略叠加区，对防震减灾提出“服务区域协调发展、保障重大工程安全、支撑韧性城市建设”的更高要求。从安徽战略全局看，宿州市作为皖北振兴主战场、皖苏鲁豫四省交界区域性中心城市，承担着“建设现代化新宿州”的历史使命</w:t>
      </w: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省委、省政府</w:t>
      </w:r>
      <w:r>
        <w:rPr>
          <w:rFonts w:hint="eastAsia" w:ascii="Times New Roman" w:hAnsi="Times New Roman" w:eastAsia="方正仿宋_GBK" w:cs="Times New Roman"/>
          <w:snapToGrid/>
          <w:color w:val="auto"/>
          <w:kern w:val="2"/>
          <w:sz w:val="32"/>
          <w:szCs w:val="32"/>
          <w:highlight w:val="none"/>
          <w:lang w:val="en-US" w:eastAsia="zh-CN"/>
        </w:rPr>
        <w:t>紧紧围绕</w:t>
      </w:r>
      <w:r>
        <w:rPr>
          <w:rFonts w:hint="default" w:ascii="Times New Roman" w:hAnsi="Times New Roman" w:eastAsia="方正仿宋_GBK" w:cs="Times New Roman"/>
          <w:snapToGrid/>
          <w:color w:val="auto"/>
          <w:kern w:val="2"/>
          <w:sz w:val="32"/>
          <w:szCs w:val="32"/>
          <w:highlight w:val="none"/>
          <w:lang w:val="en-US" w:eastAsia="zh-CN"/>
        </w:rPr>
        <w:t>国家“到2035年基本实现防震减灾事业现代化”</w:t>
      </w:r>
      <w:r>
        <w:rPr>
          <w:rFonts w:hint="eastAsia" w:ascii="Times New Roman" w:hAnsi="Times New Roman" w:eastAsia="方正仿宋_GBK" w:cs="Times New Roman"/>
          <w:snapToGrid/>
          <w:color w:val="auto"/>
          <w:kern w:val="2"/>
          <w:sz w:val="32"/>
          <w:szCs w:val="32"/>
          <w:highlight w:val="none"/>
          <w:lang w:val="en-US" w:eastAsia="zh-CN"/>
        </w:rPr>
        <w:t>的</w:t>
      </w:r>
      <w:r>
        <w:rPr>
          <w:rFonts w:hint="default" w:ascii="Times New Roman" w:hAnsi="Times New Roman" w:eastAsia="方正仿宋_GBK" w:cs="Times New Roman"/>
          <w:snapToGrid/>
          <w:color w:val="auto"/>
          <w:kern w:val="2"/>
          <w:sz w:val="32"/>
          <w:szCs w:val="32"/>
          <w:highlight w:val="none"/>
          <w:lang w:val="en-US" w:eastAsia="zh-CN"/>
        </w:rPr>
        <w:t>战略部署，明确要求加快构建现代化防震减灾治理体系，</w:t>
      </w:r>
      <w:r>
        <w:rPr>
          <w:rFonts w:hint="eastAsia" w:ascii="Times New Roman" w:hAnsi="Times New Roman" w:eastAsia="方正仿宋_GBK" w:cs="Times New Roman"/>
          <w:snapToGrid/>
          <w:color w:val="auto"/>
          <w:kern w:val="2"/>
          <w:sz w:val="32"/>
          <w:szCs w:val="32"/>
          <w:highlight w:val="none"/>
          <w:lang w:val="en-US" w:eastAsia="zh-CN"/>
        </w:rPr>
        <w:t>这</w:t>
      </w:r>
      <w:r>
        <w:rPr>
          <w:rFonts w:hint="default" w:ascii="Times New Roman" w:hAnsi="Times New Roman" w:eastAsia="方正仿宋_GBK" w:cs="Times New Roman"/>
          <w:snapToGrid/>
          <w:color w:val="auto"/>
          <w:kern w:val="2"/>
          <w:sz w:val="32"/>
          <w:szCs w:val="32"/>
          <w:highlight w:val="none"/>
          <w:lang w:val="en-US" w:eastAsia="zh-CN"/>
        </w:rPr>
        <w:t>为宿州防震减灾事业指明了方向。从宿州发展需求看，“十五五”规划是我国基本实现现代化的重要衔接规划，更是宿州“打造‘一城两区三基地’，奋力冲刺全国百强市，全面建设现代化新宿州”的关键战略机遇期。随着淮蚌高速铁路、宿州西站枢纽等重大工程</w:t>
      </w:r>
      <w:r>
        <w:rPr>
          <w:rFonts w:hint="eastAsia" w:ascii="Times New Roman" w:hAnsi="Times New Roman" w:eastAsia="方正仿宋_GBK" w:cs="Times New Roman"/>
          <w:snapToGrid/>
          <w:color w:val="auto"/>
          <w:kern w:val="2"/>
          <w:sz w:val="32"/>
          <w:szCs w:val="32"/>
          <w:highlight w:val="none"/>
          <w:lang w:val="en-US" w:eastAsia="zh-CN"/>
        </w:rPr>
        <w:t>的</w:t>
      </w:r>
      <w:r>
        <w:rPr>
          <w:rFonts w:hint="default" w:ascii="Times New Roman" w:hAnsi="Times New Roman" w:eastAsia="方正仿宋_GBK" w:cs="Times New Roman"/>
          <w:snapToGrid/>
          <w:color w:val="auto"/>
          <w:kern w:val="2"/>
          <w:sz w:val="32"/>
          <w:szCs w:val="32"/>
          <w:highlight w:val="none"/>
          <w:lang w:val="en-US" w:eastAsia="zh-CN"/>
        </w:rPr>
        <w:t>推进，以及“中国云都”数字产业基地、长三角绿色农产品生产加工供应基地等</w:t>
      </w:r>
      <w:r>
        <w:rPr>
          <w:rFonts w:hint="eastAsia" w:ascii="Times New Roman" w:hAnsi="Times New Roman" w:eastAsia="方正仿宋_GBK" w:cs="Times New Roman"/>
          <w:snapToGrid/>
          <w:color w:val="auto"/>
          <w:kern w:val="2"/>
          <w:sz w:val="32"/>
          <w:szCs w:val="32"/>
          <w:highlight w:val="none"/>
          <w:lang w:val="en-US" w:eastAsia="zh-CN"/>
        </w:rPr>
        <w:t>项目的</w:t>
      </w:r>
      <w:r>
        <w:rPr>
          <w:rFonts w:hint="default" w:ascii="Times New Roman" w:hAnsi="Times New Roman" w:eastAsia="方正仿宋_GBK" w:cs="Times New Roman"/>
          <w:snapToGrid/>
          <w:color w:val="auto"/>
          <w:kern w:val="2"/>
          <w:sz w:val="32"/>
          <w:szCs w:val="32"/>
          <w:highlight w:val="none"/>
          <w:lang w:val="en-US" w:eastAsia="zh-CN"/>
        </w:rPr>
        <w:t>建设，</w:t>
      </w:r>
      <w:r>
        <w:rPr>
          <w:rFonts w:hint="eastAsia" w:ascii="Times New Roman" w:hAnsi="Times New Roman" w:eastAsia="方正仿宋_GBK" w:cs="Times New Roman"/>
          <w:snapToGrid/>
          <w:color w:val="auto"/>
          <w:kern w:val="2"/>
          <w:sz w:val="32"/>
          <w:szCs w:val="32"/>
          <w:highlight w:val="none"/>
          <w:lang w:val="en-US" w:eastAsia="zh-CN"/>
        </w:rPr>
        <w:t>我市</w:t>
      </w:r>
      <w:r>
        <w:rPr>
          <w:rFonts w:hint="default" w:ascii="Times New Roman" w:hAnsi="Times New Roman" w:eastAsia="方正仿宋_GBK" w:cs="Times New Roman"/>
          <w:snapToGrid/>
          <w:color w:val="auto"/>
          <w:kern w:val="2"/>
          <w:sz w:val="32"/>
          <w:szCs w:val="32"/>
          <w:highlight w:val="none"/>
          <w:lang w:val="en-US" w:eastAsia="zh-CN"/>
        </w:rPr>
        <w:t>亟需针对地质构造条件复杂、人口密集区风险高等特点，强化“监测预警、风险防治、应急响应、公共服务”全链条能力建设。全面把握“十五五”时期防震减灾形势，绘就宿州市“十五五”防震减灾发展蓝图，意义重大。</w:t>
      </w:r>
    </w:p>
    <w:p w14:paraId="2E8C583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（三）面临的问题与挑战</w:t>
      </w:r>
    </w:p>
    <w:p w14:paraId="7C7965D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宿州市地处郯庐断裂带南段区域，地质构造复杂，地震灾害风险特征与</w:t>
      </w:r>
      <w:r>
        <w:rPr>
          <w:rFonts w:hint="eastAsia" w:ascii="Times New Roman" w:hAnsi="Times New Roman" w:eastAsia="方正仿宋_GBK" w:cs="Times New Roman"/>
          <w:snapToGrid/>
          <w:color w:val="auto"/>
          <w:kern w:val="2"/>
          <w:sz w:val="32"/>
          <w:szCs w:val="32"/>
          <w:highlight w:val="none"/>
          <w:lang w:val="en-US" w:eastAsia="zh-CN"/>
        </w:rPr>
        <w:t>安徽</w:t>
      </w:r>
      <w:r>
        <w:rPr>
          <w:rFonts w:hint="default" w:ascii="Times New Roman" w:hAnsi="Times New Roman" w:eastAsia="方正仿宋_GBK" w:cs="Times New Roman"/>
          <w:snapToGrid/>
          <w:color w:val="auto"/>
          <w:kern w:val="2"/>
          <w:sz w:val="32"/>
          <w:szCs w:val="32"/>
          <w:highlight w:val="none"/>
          <w:lang w:val="en-US" w:eastAsia="zh-CN"/>
        </w:rPr>
        <w:t>省总体态势高度关联，同时受区域发展阶段、自然条件及历史基础等因素影响，防震减灾工作仍面临以下突出问题，既有全省共性的普遍性短板，也有宿州特有的区域性难题</w:t>
      </w:r>
      <w:r>
        <w:rPr>
          <w:rFonts w:hint="eastAsia" w:ascii="Times New Roman" w:hAnsi="Times New Roman" w:eastAsia="方正仿宋_GBK" w:cs="Times New Roman"/>
          <w:snapToGrid/>
          <w:color w:val="auto"/>
          <w:kern w:val="2"/>
          <w:sz w:val="32"/>
          <w:szCs w:val="32"/>
          <w:highlight w:val="none"/>
          <w:lang w:val="en-US" w:eastAsia="zh-CN"/>
        </w:rPr>
        <w:t>。</w:t>
      </w:r>
    </w:p>
    <w:p w14:paraId="2F5A91A5">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b/>
          <w:bCs/>
          <w:snapToGrid/>
          <w:color w:val="auto"/>
          <w:kern w:val="2"/>
          <w:sz w:val="32"/>
          <w:szCs w:val="32"/>
          <w:highlight w:val="none"/>
          <w:lang w:val="en-US" w:eastAsia="zh-CN"/>
        </w:rPr>
        <w:t>1.</w:t>
      </w:r>
      <w:r>
        <w:rPr>
          <w:rFonts w:hint="default" w:ascii="Times New Roman" w:hAnsi="Times New Roman" w:eastAsia="方正仿宋_GBK" w:cs="Times New Roman"/>
          <w:b/>
          <w:bCs/>
          <w:snapToGrid/>
          <w:color w:val="auto"/>
          <w:kern w:val="2"/>
          <w:sz w:val="32"/>
          <w:szCs w:val="32"/>
          <w:highlight w:val="none"/>
          <w:lang w:val="en-US" w:eastAsia="zh-CN"/>
        </w:rPr>
        <w:t>基层基础保障不均衡，区域协同发展</w:t>
      </w:r>
      <w:r>
        <w:rPr>
          <w:rFonts w:hint="eastAsia" w:ascii="Times New Roman" w:hAnsi="Times New Roman" w:eastAsia="方正仿宋_GBK" w:cs="Times New Roman"/>
          <w:b/>
          <w:bCs/>
          <w:snapToGrid/>
          <w:color w:val="auto"/>
          <w:kern w:val="2"/>
          <w:sz w:val="32"/>
          <w:szCs w:val="32"/>
          <w:highlight w:val="none"/>
          <w:lang w:val="en-US" w:eastAsia="zh-CN"/>
        </w:rPr>
        <w:t>存在</w:t>
      </w:r>
      <w:r>
        <w:rPr>
          <w:rFonts w:hint="default" w:ascii="Times New Roman" w:hAnsi="Times New Roman" w:eastAsia="方正仿宋_GBK" w:cs="Times New Roman"/>
          <w:b/>
          <w:bCs/>
          <w:snapToGrid/>
          <w:color w:val="auto"/>
          <w:kern w:val="2"/>
          <w:sz w:val="32"/>
          <w:szCs w:val="32"/>
          <w:highlight w:val="none"/>
          <w:lang w:val="en-US" w:eastAsia="zh-CN"/>
        </w:rPr>
        <w:t>短板</w:t>
      </w:r>
      <w:r>
        <w:rPr>
          <w:rFonts w:hint="eastAsia" w:ascii="Times New Roman" w:hAnsi="Times New Roman" w:eastAsia="方正仿宋_GBK" w:cs="Times New Roman"/>
          <w:b/>
          <w:bCs/>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受地质构造背景、财政保障能力、机构设置及</w:t>
      </w:r>
      <w:r>
        <w:rPr>
          <w:rFonts w:hint="eastAsia" w:ascii="Times New Roman" w:hAnsi="Times New Roman" w:eastAsia="方正仿宋_GBK" w:cs="Times New Roman"/>
          <w:snapToGrid/>
          <w:color w:val="auto"/>
          <w:kern w:val="2"/>
          <w:sz w:val="32"/>
          <w:szCs w:val="32"/>
          <w:highlight w:val="none"/>
          <w:lang w:val="en-US" w:eastAsia="zh-CN"/>
        </w:rPr>
        <w:t>领导</w:t>
      </w:r>
      <w:r>
        <w:rPr>
          <w:rFonts w:hint="default" w:ascii="Times New Roman" w:hAnsi="Times New Roman" w:eastAsia="方正仿宋_GBK" w:cs="Times New Roman"/>
          <w:snapToGrid/>
          <w:color w:val="auto"/>
          <w:kern w:val="2"/>
          <w:sz w:val="32"/>
          <w:szCs w:val="32"/>
          <w:highlight w:val="none"/>
          <w:lang w:val="en-US" w:eastAsia="zh-CN"/>
        </w:rPr>
        <w:t>干部重视程度差异影响，全市防震减灾事业发展</w:t>
      </w:r>
      <w:r>
        <w:rPr>
          <w:rFonts w:hint="eastAsia" w:ascii="Times New Roman" w:hAnsi="Times New Roman" w:eastAsia="方正仿宋_GBK" w:cs="Times New Roman"/>
          <w:snapToGrid/>
          <w:color w:val="auto"/>
          <w:kern w:val="2"/>
          <w:sz w:val="32"/>
          <w:szCs w:val="32"/>
          <w:highlight w:val="none"/>
          <w:lang w:val="en-US" w:eastAsia="zh-CN"/>
        </w:rPr>
        <w:t>不平衡不充分；</w:t>
      </w:r>
      <w:r>
        <w:rPr>
          <w:rFonts w:hint="default" w:ascii="Times New Roman" w:hAnsi="Times New Roman" w:eastAsia="方正仿宋_GBK" w:cs="Times New Roman"/>
          <w:snapToGrid/>
          <w:color w:val="auto"/>
          <w:kern w:val="2"/>
          <w:sz w:val="32"/>
          <w:szCs w:val="32"/>
          <w:highlight w:val="none"/>
          <w:lang w:val="en-US" w:eastAsia="zh-CN"/>
        </w:rPr>
        <w:t>个别县区因财政能力薄弱，在地震监测站点运维、科普宣传等基础工作中存在明显短板，基层队伍专业能力参差不齐的问题较为突出。</w:t>
      </w:r>
    </w:p>
    <w:p w14:paraId="5F936E5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b/>
          <w:bCs/>
          <w:snapToGrid/>
          <w:color w:val="auto"/>
          <w:kern w:val="2"/>
          <w:sz w:val="32"/>
          <w:szCs w:val="32"/>
          <w:highlight w:val="none"/>
          <w:lang w:val="en-US" w:eastAsia="zh-CN"/>
        </w:rPr>
        <w:t>2.</w:t>
      </w:r>
      <w:r>
        <w:rPr>
          <w:rFonts w:hint="default" w:ascii="Times New Roman" w:hAnsi="Times New Roman" w:eastAsia="方正仿宋_GBK" w:cs="Times New Roman"/>
          <w:b/>
          <w:bCs/>
          <w:snapToGrid/>
          <w:color w:val="auto"/>
          <w:kern w:val="2"/>
          <w:sz w:val="32"/>
          <w:szCs w:val="32"/>
          <w:highlight w:val="none"/>
          <w:lang w:val="en-US" w:eastAsia="zh-CN"/>
        </w:rPr>
        <w:t>监测预报预警能力待提升，技术应用衔接不紧</w:t>
      </w:r>
      <w:r>
        <w:rPr>
          <w:rFonts w:hint="eastAsia" w:ascii="Times New Roman" w:hAnsi="Times New Roman" w:eastAsia="方正仿宋_GBK" w:cs="Times New Roman"/>
          <w:b/>
          <w:bCs/>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当前</w:t>
      </w: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全市地震监测仍以传统手段为主，沿郯庐断裂带的泗县、灵璧等重点区域监测覆盖密度不足，智能化、自动化观测设备占比偏低，技术支撑与行业发展需求之间存在衔接缺口。</w:t>
      </w:r>
    </w:p>
    <w:p w14:paraId="4ECA106B">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b/>
          <w:bCs/>
          <w:snapToGrid/>
          <w:color w:val="auto"/>
          <w:kern w:val="2"/>
          <w:sz w:val="32"/>
          <w:szCs w:val="32"/>
          <w:highlight w:val="none"/>
          <w:lang w:val="en-US" w:eastAsia="zh-CN"/>
        </w:rPr>
        <w:t>3.震灾风险底数未全面摸清，韧性城乡建设存在不足。</w:t>
      </w:r>
      <w:r>
        <w:rPr>
          <w:rFonts w:hint="default" w:ascii="Times New Roman" w:hAnsi="Times New Roman" w:eastAsia="方正仿宋_GBK" w:cs="Times New Roman"/>
          <w:snapToGrid/>
          <w:color w:val="auto"/>
          <w:kern w:val="2"/>
          <w:sz w:val="32"/>
          <w:szCs w:val="32"/>
          <w:highlight w:val="none"/>
          <w:lang w:val="en-US" w:eastAsia="zh-CN"/>
        </w:rPr>
        <w:t>作为全省地震灾害高风险区</w:t>
      </w:r>
      <w:r>
        <w:rPr>
          <w:rFonts w:hint="eastAsia" w:ascii="Times New Roman" w:hAnsi="Times New Roman" w:eastAsia="方正仿宋_GBK" w:cs="Times New Roman"/>
          <w:snapToGrid/>
          <w:color w:val="auto"/>
          <w:kern w:val="2"/>
          <w:sz w:val="32"/>
          <w:szCs w:val="32"/>
          <w:highlight w:val="none"/>
          <w:lang w:val="en-US" w:eastAsia="zh-CN"/>
        </w:rPr>
        <w:t>之一</w:t>
      </w:r>
      <w:r>
        <w:rPr>
          <w:rFonts w:hint="default" w:ascii="Times New Roman" w:hAnsi="Times New Roman" w:eastAsia="方正仿宋_GBK" w:cs="Times New Roman"/>
          <w:snapToGrid/>
          <w:color w:val="auto"/>
          <w:kern w:val="2"/>
          <w:sz w:val="32"/>
          <w:szCs w:val="32"/>
          <w:highlight w:val="none"/>
          <w:lang w:val="en-US" w:eastAsia="zh-CN"/>
        </w:rPr>
        <w:t>，宿州</w:t>
      </w:r>
      <w:r>
        <w:rPr>
          <w:rFonts w:hint="eastAsia" w:ascii="Times New Roman" w:hAnsi="Times New Roman" w:eastAsia="方正仿宋_GBK" w:cs="Times New Roman"/>
          <w:snapToGrid/>
          <w:color w:val="auto"/>
          <w:kern w:val="2"/>
          <w:sz w:val="32"/>
          <w:szCs w:val="32"/>
          <w:highlight w:val="none"/>
          <w:lang w:val="en-US" w:eastAsia="zh-CN"/>
        </w:rPr>
        <w:t>市超</w:t>
      </w:r>
      <w:r>
        <w:rPr>
          <w:rFonts w:hint="default" w:ascii="Times New Roman" w:hAnsi="Times New Roman" w:eastAsia="方正仿宋_GBK" w:cs="Times New Roman"/>
          <w:snapToGrid/>
          <w:color w:val="auto"/>
          <w:kern w:val="2"/>
          <w:sz w:val="32"/>
          <w:szCs w:val="32"/>
          <w:highlight w:val="none"/>
          <w:lang w:val="en-US" w:eastAsia="zh-CN"/>
        </w:rPr>
        <w:t>过半数乡镇（街道）处于抗震设防7度及以上区域，但重点区域地震构造环境探查、地震灾害损失预评估、县级活动断层探测等工作尚处起步阶段，地震危险源与承灾体风险底数尚未全面掌握；老旧城区、城乡结合部房屋建筑抗震性能普查覆盖率偏低，潜在地震风险隐患亟待排查整治。</w:t>
      </w:r>
    </w:p>
    <w:p w14:paraId="6BFCD73C">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4.应急处置协同效能待增强，联动机制运行不畅。</w:t>
      </w:r>
      <w:r>
        <w:rPr>
          <w:rFonts w:hint="default" w:ascii="Times New Roman" w:hAnsi="Times New Roman" w:eastAsia="方正仿宋_GBK" w:cs="Times New Roman"/>
          <w:b w:val="0"/>
          <w:bCs w:val="0"/>
          <w:snapToGrid/>
          <w:color w:val="auto"/>
          <w:kern w:val="2"/>
          <w:sz w:val="32"/>
          <w:szCs w:val="32"/>
          <w:highlight w:val="none"/>
          <w:lang w:val="en-US" w:eastAsia="zh-CN"/>
        </w:rPr>
        <w:t>目前市县地震、应急、住建、自然资源</w:t>
      </w:r>
      <w:r>
        <w:rPr>
          <w:rFonts w:hint="eastAsia" w:ascii="Times New Roman" w:hAnsi="Times New Roman" w:eastAsia="方正仿宋_GBK" w:cs="Times New Roman"/>
          <w:b w:val="0"/>
          <w:bCs w:val="0"/>
          <w:snapToGrid/>
          <w:color w:val="auto"/>
          <w:kern w:val="2"/>
          <w:sz w:val="32"/>
          <w:szCs w:val="32"/>
          <w:highlight w:val="none"/>
          <w:lang w:val="en-US" w:eastAsia="zh-CN"/>
        </w:rPr>
        <w:t>和规划</w:t>
      </w:r>
      <w:r>
        <w:rPr>
          <w:rFonts w:hint="default" w:ascii="Times New Roman" w:hAnsi="Times New Roman" w:eastAsia="方正仿宋_GBK" w:cs="Times New Roman"/>
          <w:b w:val="0"/>
          <w:bCs w:val="0"/>
          <w:snapToGrid/>
          <w:color w:val="auto"/>
          <w:kern w:val="2"/>
          <w:sz w:val="32"/>
          <w:szCs w:val="32"/>
          <w:highlight w:val="none"/>
          <w:lang w:val="en-US" w:eastAsia="zh-CN"/>
        </w:rPr>
        <w:t>等部门间信息共享</w:t>
      </w:r>
      <w:r>
        <w:rPr>
          <w:rFonts w:hint="eastAsia" w:ascii="Times New Roman" w:hAnsi="Times New Roman" w:eastAsia="方正仿宋_GBK" w:cs="Times New Roman"/>
          <w:b w:val="0"/>
          <w:bCs w:val="0"/>
          <w:snapToGrid/>
          <w:color w:val="auto"/>
          <w:kern w:val="2"/>
          <w:sz w:val="32"/>
          <w:szCs w:val="32"/>
          <w:highlight w:val="none"/>
          <w:lang w:val="en-US" w:eastAsia="zh-CN"/>
        </w:rPr>
        <w:t>机制尚未健全</w:t>
      </w:r>
      <w:r>
        <w:rPr>
          <w:rFonts w:hint="default" w:ascii="Times New Roman" w:hAnsi="Times New Roman" w:eastAsia="方正仿宋_GBK" w:cs="Times New Roman"/>
          <w:b w:val="0"/>
          <w:bCs w:val="0"/>
          <w:snapToGrid/>
          <w:color w:val="auto"/>
          <w:kern w:val="2"/>
          <w:sz w:val="32"/>
          <w:szCs w:val="32"/>
          <w:highlight w:val="none"/>
          <w:lang w:val="en-US" w:eastAsia="zh-CN"/>
        </w:rPr>
        <w:t>；基层应急指挥体系韧性不足，且地震灾害专业救援队伍存在人员数量不足、装备配置水平偏低的问题；全民防震减灾科学素养处于全省中游水平，社会力量参与防震减灾的常态化协同机制</w:t>
      </w:r>
      <w:r>
        <w:rPr>
          <w:rFonts w:hint="eastAsia" w:ascii="Times New Roman" w:hAnsi="Times New Roman" w:eastAsia="方正仿宋_GBK" w:cs="Times New Roman"/>
          <w:b w:val="0"/>
          <w:bCs w:val="0"/>
          <w:snapToGrid/>
          <w:color w:val="auto"/>
          <w:kern w:val="2"/>
          <w:sz w:val="32"/>
          <w:szCs w:val="32"/>
          <w:highlight w:val="none"/>
          <w:lang w:val="en-US" w:eastAsia="zh-CN"/>
        </w:rPr>
        <w:t>尚不完善</w:t>
      </w:r>
      <w:r>
        <w:rPr>
          <w:rFonts w:hint="default" w:ascii="Times New Roman" w:hAnsi="Times New Roman" w:eastAsia="方正仿宋_GBK" w:cs="Times New Roman"/>
          <w:b w:val="0"/>
          <w:bCs w:val="0"/>
          <w:snapToGrid/>
          <w:color w:val="auto"/>
          <w:kern w:val="2"/>
          <w:sz w:val="32"/>
          <w:szCs w:val="32"/>
          <w:highlight w:val="none"/>
          <w:lang w:val="en-US" w:eastAsia="zh-CN"/>
        </w:rPr>
        <w:t>。</w:t>
      </w:r>
    </w:p>
    <w:p w14:paraId="3DC2D44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三、指导思想、基本原则和发展目标</w:t>
      </w:r>
    </w:p>
    <w:p w14:paraId="762AA92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color w:val="auto"/>
          <w:kern w:val="2"/>
          <w:sz w:val="32"/>
          <w:szCs w:val="32"/>
          <w:highlight w:val="none"/>
          <w:lang w:val="en-US" w:eastAsia="zh-CN"/>
        </w:rPr>
      </w:pPr>
      <w:r>
        <w:rPr>
          <w:rFonts w:hint="eastAsia" w:ascii="方正楷体_GBK" w:hAnsi="方正楷体_GBK" w:eastAsia="方正楷体_GBK" w:cs="方正楷体_GBK"/>
          <w:snapToGrid/>
          <w:color w:val="auto"/>
          <w:kern w:val="2"/>
          <w:sz w:val="32"/>
          <w:szCs w:val="32"/>
          <w:highlight w:val="none"/>
          <w:lang w:val="en-US" w:eastAsia="zh-CN"/>
        </w:rPr>
        <w:t>（一）指导思想</w:t>
      </w:r>
    </w:p>
    <w:p w14:paraId="29D3D0C3">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以习近平新时代中国特色社会主义思想为指导，全面贯彻落实党的二十大和二十届历次全会精神，深入学习贯彻习近平总书记关于防震减灾救灾重要指示批示和考察安徽重要讲话精神。强化风险意识与底线思维，坚持人民至上、生命至上，统筹发展和安全。聚焦“探识地震、感知风险、韧性防御、智慧服务、综合治理”五大任务，立足宿州作为皖北振兴主阵地、深度融入长三角一体化发展重要节点的战略定位，以高水平安全服务高质量发展为导向，着力提升地震监测预警能力、构建城市安全韧性体系、协同推进科普法治建设，全面提升防震减灾救灾现代化水平，为奋力谱写中国式现代化宿州篇章筑牢安全屏障。</w:t>
      </w:r>
    </w:p>
    <w:p w14:paraId="5EC53C85">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snapToGrid/>
          <w:color w:val="auto"/>
          <w:kern w:val="2"/>
          <w:sz w:val="32"/>
          <w:szCs w:val="32"/>
          <w:highlight w:val="none"/>
          <w:lang w:val="en-US" w:eastAsia="zh-CN"/>
        </w:rPr>
      </w:pPr>
      <w:r>
        <w:rPr>
          <w:rFonts w:hint="eastAsia" w:ascii="方正楷体_GBK" w:hAnsi="方正楷体_GBK" w:eastAsia="方正楷体_GBK" w:cs="方正楷体_GBK"/>
          <w:snapToGrid/>
          <w:color w:val="auto"/>
          <w:kern w:val="2"/>
          <w:sz w:val="32"/>
          <w:szCs w:val="32"/>
          <w:highlight w:val="none"/>
          <w:lang w:val="en-US" w:eastAsia="zh-CN"/>
        </w:rPr>
        <w:t>（二）基本原则</w:t>
      </w:r>
    </w:p>
    <w:p w14:paraId="3B7E89BF">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坚持人民至上、生命至上。始终牢固树立以人民为中心的发展思想，</w:t>
      </w:r>
      <w:r>
        <w:rPr>
          <w:rFonts w:hint="eastAsia" w:ascii="Times New Roman" w:hAnsi="Times New Roman" w:eastAsia="方正仿宋_GBK" w:cs="Times New Roman"/>
          <w:snapToGrid/>
          <w:color w:val="auto"/>
          <w:kern w:val="2"/>
          <w:sz w:val="32"/>
          <w:szCs w:val="32"/>
          <w:highlight w:val="none"/>
          <w:lang w:val="en-US" w:eastAsia="zh-CN"/>
        </w:rPr>
        <w:t>把</w:t>
      </w:r>
      <w:r>
        <w:rPr>
          <w:rFonts w:hint="default" w:ascii="Times New Roman" w:hAnsi="Times New Roman" w:eastAsia="方正仿宋_GBK" w:cs="Times New Roman"/>
          <w:snapToGrid/>
          <w:color w:val="auto"/>
          <w:kern w:val="2"/>
          <w:sz w:val="32"/>
          <w:szCs w:val="32"/>
          <w:highlight w:val="none"/>
          <w:lang w:val="en-US" w:eastAsia="zh-CN"/>
        </w:rPr>
        <w:t>保障人民群众生命安全作为</w:t>
      </w:r>
      <w:r>
        <w:rPr>
          <w:rFonts w:hint="eastAsia" w:ascii="Times New Roman" w:hAnsi="Times New Roman" w:eastAsia="方正仿宋_GBK" w:cs="Times New Roman"/>
          <w:snapToGrid/>
          <w:color w:val="auto"/>
          <w:kern w:val="2"/>
          <w:sz w:val="32"/>
          <w:szCs w:val="32"/>
          <w:highlight w:val="none"/>
          <w:lang w:val="en-US" w:eastAsia="zh-CN"/>
        </w:rPr>
        <w:t>首要任务</w:t>
      </w:r>
      <w:r>
        <w:rPr>
          <w:rFonts w:hint="default" w:ascii="Times New Roman" w:hAnsi="Times New Roman" w:eastAsia="方正仿宋_GBK" w:cs="Times New Roman"/>
          <w:snapToGrid/>
          <w:color w:val="auto"/>
          <w:kern w:val="2"/>
          <w:sz w:val="32"/>
          <w:szCs w:val="32"/>
          <w:highlight w:val="none"/>
          <w:lang w:val="en-US" w:eastAsia="zh-CN"/>
        </w:rPr>
        <w:t>，全力推动防震减灾事业高质量发展，</w:t>
      </w:r>
      <w:r>
        <w:rPr>
          <w:rFonts w:hint="eastAsia" w:ascii="Times New Roman" w:hAnsi="Times New Roman" w:eastAsia="方正仿宋_GBK" w:cs="Times New Roman"/>
          <w:snapToGrid/>
          <w:color w:val="auto"/>
          <w:kern w:val="2"/>
          <w:sz w:val="32"/>
          <w:szCs w:val="32"/>
          <w:highlight w:val="none"/>
          <w:lang w:val="en-US" w:eastAsia="zh-CN"/>
        </w:rPr>
        <w:t>筑牢</w:t>
      </w:r>
      <w:r>
        <w:rPr>
          <w:rFonts w:hint="default" w:ascii="Times New Roman" w:hAnsi="Times New Roman" w:eastAsia="方正仿宋_GBK" w:cs="Times New Roman"/>
          <w:snapToGrid/>
          <w:color w:val="auto"/>
          <w:kern w:val="2"/>
          <w:sz w:val="32"/>
          <w:szCs w:val="32"/>
          <w:highlight w:val="none"/>
          <w:lang w:val="en-US" w:eastAsia="zh-CN"/>
        </w:rPr>
        <w:t>守护人民生命财产安全的坚固屏障。</w:t>
      </w:r>
    </w:p>
    <w:p w14:paraId="1C329AA5">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坚持预防为主、风险管控。</w:t>
      </w:r>
      <w:r>
        <w:rPr>
          <w:rFonts w:hint="eastAsia" w:ascii="Times New Roman" w:hAnsi="Times New Roman" w:eastAsia="方正仿宋_GBK" w:cs="Times New Roman"/>
          <w:snapToGrid/>
          <w:color w:val="auto"/>
          <w:kern w:val="2"/>
          <w:sz w:val="32"/>
          <w:szCs w:val="32"/>
          <w:highlight w:val="none"/>
          <w:lang w:val="en-US" w:eastAsia="zh-CN"/>
        </w:rPr>
        <w:t>立足</w:t>
      </w:r>
      <w:r>
        <w:rPr>
          <w:rFonts w:hint="default" w:ascii="Times New Roman" w:hAnsi="Times New Roman" w:eastAsia="方正仿宋_GBK" w:cs="Times New Roman"/>
          <w:snapToGrid/>
          <w:color w:val="auto"/>
          <w:kern w:val="2"/>
          <w:sz w:val="32"/>
          <w:szCs w:val="32"/>
          <w:highlight w:val="none"/>
          <w:lang w:val="en-US" w:eastAsia="zh-CN"/>
        </w:rPr>
        <w:t>宿州地处郯庐断裂带</w:t>
      </w:r>
      <w:r>
        <w:rPr>
          <w:rFonts w:hint="eastAsia" w:ascii="Times New Roman" w:hAnsi="Times New Roman" w:eastAsia="方正仿宋_GBK" w:cs="Times New Roman"/>
          <w:snapToGrid/>
          <w:color w:val="auto"/>
          <w:kern w:val="2"/>
          <w:sz w:val="32"/>
          <w:szCs w:val="32"/>
          <w:highlight w:val="none"/>
          <w:lang w:val="en-US" w:eastAsia="zh-CN"/>
        </w:rPr>
        <w:t>的</w:t>
      </w:r>
      <w:r>
        <w:rPr>
          <w:rFonts w:hint="default" w:ascii="Times New Roman" w:hAnsi="Times New Roman" w:eastAsia="方正仿宋_GBK" w:cs="Times New Roman"/>
          <w:snapToGrid/>
          <w:color w:val="auto"/>
          <w:kern w:val="2"/>
          <w:sz w:val="32"/>
          <w:szCs w:val="32"/>
          <w:highlight w:val="none"/>
          <w:lang w:val="en-US" w:eastAsia="zh-CN"/>
        </w:rPr>
        <w:t>特殊区位</w:t>
      </w:r>
      <w:r>
        <w:rPr>
          <w:rFonts w:hint="eastAsia" w:ascii="Times New Roman" w:hAnsi="Times New Roman" w:eastAsia="方正仿宋_GBK" w:cs="Times New Roman"/>
          <w:snapToGrid/>
          <w:color w:val="auto"/>
          <w:kern w:val="2"/>
          <w:sz w:val="32"/>
          <w:szCs w:val="32"/>
          <w:highlight w:val="none"/>
          <w:lang w:val="en-US" w:eastAsia="zh-CN"/>
        </w:rPr>
        <w:t>实际</w:t>
      </w:r>
      <w:r>
        <w:rPr>
          <w:rFonts w:hint="default" w:ascii="Times New Roman" w:hAnsi="Times New Roman" w:eastAsia="方正仿宋_GBK" w:cs="Times New Roman"/>
          <w:snapToGrid/>
          <w:color w:val="auto"/>
          <w:kern w:val="2"/>
          <w:sz w:val="32"/>
          <w:szCs w:val="32"/>
          <w:highlight w:val="none"/>
          <w:lang w:val="en-US" w:eastAsia="zh-CN"/>
        </w:rPr>
        <w:t>，</w:t>
      </w:r>
      <w:r>
        <w:rPr>
          <w:rFonts w:hint="eastAsia" w:ascii="Times New Roman" w:hAnsi="Times New Roman" w:eastAsia="方正仿宋_GBK" w:cs="Times New Roman"/>
          <w:snapToGrid/>
          <w:color w:val="auto"/>
          <w:kern w:val="2"/>
          <w:sz w:val="32"/>
          <w:szCs w:val="32"/>
          <w:highlight w:val="none"/>
          <w:lang w:val="en-US" w:eastAsia="zh-CN"/>
        </w:rPr>
        <w:t>科学</w:t>
      </w:r>
      <w:r>
        <w:rPr>
          <w:rFonts w:hint="default" w:ascii="Times New Roman" w:hAnsi="Times New Roman" w:eastAsia="方正仿宋_GBK" w:cs="Times New Roman"/>
          <w:snapToGrid/>
          <w:color w:val="auto"/>
          <w:kern w:val="2"/>
          <w:sz w:val="32"/>
          <w:szCs w:val="32"/>
          <w:highlight w:val="none"/>
          <w:lang w:val="en-US" w:eastAsia="zh-CN"/>
        </w:rPr>
        <w:t>把握地震灾害发生发展规律，强化全周期风险管理理念，</w:t>
      </w:r>
      <w:r>
        <w:rPr>
          <w:rFonts w:hint="eastAsia" w:ascii="Times New Roman" w:hAnsi="Times New Roman" w:eastAsia="方正仿宋_GBK" w:cs="Times New Roman"/>
          <w:snapToGrid/>
          <w:color w:val="auto"/>
          <w:kern w:val="2"/>
          <w:sz w:val="32"/>
          <w:szCs w:val="32"/>
          <w:highlight w:val="none"/>
          <w:lang w:val="en-US" w:eastAsia="zh-CN"/>
        </w:rPr>
        <w:t>加快</w:t>
      </w:r>
      <w:r>
        <w:rPr>
          <w:rFonts w:hint="default" w:ascii="Times New Roman" w:hAnsi="Times New Roman" w:eastAsia="方正仿宋_GBK" w:cs="Times New Roman"/>
          <w:snapToGrid/>
          <w:color w:val="auto"/>
          <w:kern w:val="2"/>
          <w:sz w:val="32"/>
          <w:szCs w:val="32"/>
          <w:highlight w:val="none"/>
          <w:lang w:val="en-US" w:eastAsia="zh-CN"/>
        </w:rPr>
        <w:t>构建重大风险源动态监测预警体系。</w:t>
      </w:r>
    </w:p>
    <w:p w14:paraId="14985CA6">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坚持数字赋能、创新驱动。抢抓长三角一体化发展战略机遇，以数字化改革为</w:t>
      </w:r>
      <w:r>
        <w:rPr>
          <w:rFonts w:hint="eastAsia" w:ascii="Times New Roman" w:hAnsi="Times New Roman" w:eastAsia="方正仿宋_GBK" w:cs="Times New Roman"/>
          <w:snapToGrid/>
          <w:color w:val="auto"/>
          <w:kern w:val="2"/>
          <w:sz w:val="32"/>
          <w:szCs w:val="32"/>
          <w:highlight w:val="none"/>
          <w:lang w:val="en-US" w:eastAsia="zh-CN"/>
        </w:rPr>
        <w:t>引领</w:t>
      </w:r>
      <w:r>
        <w:rPr>
          <w:rFonts w:hint="default" w:ascii="Times New Roman" w:hAnsi="Times New Roman" w:eastAsia="方正仿宋_GBK" w:cs="Times New Roman"/>
          <w:snapToGrid/>
          <w:color w:val="auto"/>
          <w:kern w:val="2"/>
          <w:sz w:val="32"/>
          <w:szCs w:val="32"/>
          <w:highlight w:val="none"/>
          <w:lang w:val="en-US" w:eastAsia="zh-CN"/>
        </w:rPr>
        <w:t>，</w:t>
      </w:r>
      <w:r>
        <w:rPr>
          <w:rFonts w:hint="eastAsia" w:ascii="Times New Roman" w:hAnsi="Times New Roman" w:eastAsia="方正仿宋_GBK" w:cs="Times New Roman"/>
          <w:snapToGrid/>
          <w:color w:val="auto"/>
          <w:kern w:val="2"/>
          <w:sz w:val="32"/>
          <w:szCs w:val="32"/>
          <w:highlight w:val="none"/>
          <w:lang w:val="en-US" w:eastAsia="zh-CN"/>
        </w:rPr>
        <w:t>深化</w:t>
      </w:r>
      <w:r>
        <w:rPr>
          <w:rFonts w:hint="default" w:ascii="Times New Roman" w:hAnsi="Times New Roman" w:eastAsia="方正仿宋_GBK" w:cs="Times New Roman"/>
          <w:snapToGrid/>
          <w:color w:val="auto"/>
          <w:kern w:val="2"/>
          <w:sz w:val="32"/>
          <w:szCs w:val="32"/>
          <w:highlight w:val="none"/>
          <w:lang w:val="en-US" w:eastAsia="zh-CN"/>
        </w:rPr>
        <w:t>防震减灾体制机制改革，</w:t>
      </w:r>
      <w:r>
        <w:rPr>
          <w:rFonts w:hint="eastAsia" w:ascii="Times New Roman" w:hAnsi="Times New Roman" w:eastAsia="方正仿宋_GBK" w:cs="Times New Roman"/>
          <w:snapToGrid/>
          <w:color w:val="auto"/>
          <w:kern w:val="2"/>
          <w:sz w:val="32"/>
          <w:szCs w:val="32"/>
          <w:highlight w:val="none"/>
          <w:lang w:val="en-US" w:eastAsia="zh-CN"/>
        </w:rPr>
        <w:t>激发</w:t>
      </w:r>
      <w:r>
        <w:rPr>
          <w:rFonts w:hint="default" w:ascii="Times New Roman" w:hAnsi="Times New Roman" w:eastAsia="方正仿宋_GBK" w:cs="Times New Roman"/>
          <w:snapToGrid/>
          <w:color w:val="auto"/>
          <w:kern w:val="2"/>
          <w:sz w:val="32"/>
          <w:szCs w:val="32"/>
          <w:highlight w:val="none"/>
          <w:lang w:val="en-US" w:eastAsia="zh-CN"/>
        </w:rPr>
        <w:t>事业创新发展内生动力。</w:t>
      </w:r>
    </w:p>
    <w:p w14:paraId="1D89A295">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坚持系统治理、共治共享。</w:t>
      </w:r>
      <w:r>
        <w:rPr>
          <w:rFonts w:hint="eastAsia" w:ascii="Times New Roman" w:hAnsi="Times New Roman" w:eastAsia="方正仿宋_GBK" w:cs="Times New Roman"/>
          <w:snapToGrid/>
          <w:color w:val="auto"/>
          <w:kern w:val="2"/>
          <w:sz w:val="32"/>
          <w:szCs w:val="32"/>
          <w:highlight w:val="none"/>
          <w:lang w:val="en-US" w:eastAsia="zh-CN"/>
        </w:rPr>
        <w:t>树立</w:t>
      </w:r>
      <w:r>
        <w:rPr>
          <w:rFonts w:hint="default" w:ascii="Times New Roman" w:hAnsi="Times New Roman" w:eastAsia="方正仿宋_GBK" w:cs="Times New Roman"/>
          <w:snapToGrid/>
          <w:color w:val="auto"/>
          <w:kern w:val="2"/>
          <w:sz w:val="32"/>
          <w:szCs w:val="32"/>
          <w:highlight w:val="none"/>
          <w:lang w:val="en-US" w:eastAsia="zh-CN"/>
        </w:rPr>
        <w:t>系统思维</w:t>
      </w:r>
      <w:r>
        <w:rPr>
          <w:rFonts w:hint="eastAsia" w:ascii="Times New Roman" w:hAnsi="Times New Roman" w:eastAsia="方正仿宋_GBK" w:cs="Times New Roman"/>
          <w:snapToGrid/>
          <w:color w:val="auto"/>
          <w:kern w:val="2"/>
          <w:sz w:val="32"/>
          <w:szCs w:val="32"/>
          <w:highlight w:val="none"/>
          <w:lang w:val="en-US" w:eastAsia="zh-CN"/>
        </w:rPr>
        <w:t>强化</w:t>
      </w:r>
      <w:r>
        <w:rPr>
          <w:rFonts w:hint="default" w:ascii="Times New Roman" w:hAnsi="Times New Roman" w:eastAsia="方正仿宋_GBK" w:cs="Times New Roman"/>
          <w:snapToGrid/>
          <w:color w:val="auto"/>
          <w:kern w:val="2"/>
          <w:sz w:val="32"/>
          <w:szCs w:val="32"/>
          <w:highlight w:val="none"/>
          <w:lang w:val="en-US" w:eastAsia="zh-CN"/>
        </w:rPr>
        <w:t>统筹谋划，</w:t>
      </w:r>
      <w:r>
        <w:rPr>
          <w:rFonts w:hint="eastAsia" w:ascii="Times New Roman" w:hAnsi="Times New Roman" w:eastAsia="方正仿宋_GBK" w:cs="Times New Roman"/>
          <w:snapToGrid/>
          <w:color w:val="auto"/>
          <w:kern w:val="2"/>
          <w:sz w:val="32"/>
          <w:szCs w:val="32"/>
          <w:highlight w:val="none"/>
          <w:lang w:val="en-US" w:eastAsia="zh-CN"/>
        </w:rPr>
        <w:t>推动</w:t>
      </w:r>
      <w:r>
        <w:rPr>
          <w:rFonts w:hint="default" w:ascii="Times New Roman" w:hAnsi="Times New Roman" w:eastAsia="方正仿宋_GBK" w:cs="Times New Roman"/>
          <w:snapToGrid/>
          <w:color w:val="auto"/>
          <w:kern w:val="2"/>
          <w:sz w:val="32"/>
          <w:szCs w:val="32"/>
          <w:highlight w:val="none"/>
          <w:lang w:val="en-US" w:eastAsia="zh-CN"/>
        </w:rPr>
        <w:t>防震减灾与应急管理、自然资源</w:t>
      </w:r>
      <w:r>
        <w:rPr>
          <w:rFonts w:hint="eastAsia" w:ascii="Times New Roman" w:hAnsi="Times New Roman" w:eastAsia="方正仿宋_GBK" w:cs="Times New Roman"/>
          <w:snapToGrid/>
          <w:color w:val="auto"/>
          <w:kern w:val="2"/>
          <w:sz w:val="32"/>
          <w:szCs w:val="32"/>
          <w:highlight w:val="none"/>
          <w:lang w:val="en-US" w:eastAsia="zh-CN"/>
        </w:rPr>
        <w:t>和规划</w:t>
      </w:r>
      <w:r>
        <w:rPr>
          <w:rFonts w:hint="default" w:ascii="Times New Roman" w:hAnsi="Times New Roman" w:eastAsia="方正仿宋_GBK" w:cs="Times New Roman"/>
          <w:snapToGrid/>
          <w:color w:val="auto"/>
          <w:kern w:val="2"/>
          <w:sz w:val="32"/>
          <w:szCs w:val="32"/>
          <w:highlight w:val="none"/>
          <w:lang w:val="en-US" w:eastAsia="zh-CN"/>
        </w:rPr>
        <w:t>、住建等领域</w:t>
      </w:r>
      <w:r>
        <w:rPr>
          <w:rFonts w:hint="eastAsia" w:ascii="Times New Roman" w:hAnsi="Times New Roman" w:eastAsia="方正仿宋_GBK" w:cs="Times New Roman"/>
          <w:snapToGrid/>
          <w:color w:val="auto"/>
          <w:kern w:val="2"/>
          <w:sz w:val="32"/>
          <w:szCs w:val="32"/>
          <w:highlight w:val="none"/>
          <w:lang w:val="en-US" w:eastAsia="zh-CN"/>
        </w:rPr>
        <w:t>协同联动</w:t>
      </w:r>
      <w:r>
        <w:rPr>
          <w:rFonts w:hint="default" w:ascii="Times New Roman" w:hAnsi="Times New Roman" w:eastAsia="方正仿宋_GBK" w:cs="Times New Roman"/>
          <w:snapToGrid/>
          <w:color w:val="auto"/>
          <w:kern w:val="2"/>
          <w:sz w:val="32"/>
          <w:szCs w:val="32"/>
          <w:highlight w:val="none"/>
          <w:lang w:val="en-US" w:eastAsia="zh-CN"/>
        </w:rPr>
        <w:t>，着力构建“市县纵向联动、部门横向协同、社会广泛参与”的工作共同体。</w:t>
      </w:r>
    </w:p>
    <w:p w14:paraId="6BF48042">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方正楷体_GBK" w:hAnsi="方正楷体_GBK" w:eastAsia="方正楷体_GBK" w:cs="方正楷体_GBK"/>
          <w:snapToGrid/>
          <w:color w:val="auto"/>
          <w:kern w:val="2"/>
          <w:sz w:val="32"/>
          <w:szCs w:val="32"/>
          <w:highlight w:val="none"/>
          <w:lang w:val="en-US" w:eastAsia="zh-CN"/>
        </w:rPr>
      </w:pPr>
      <w:r>
        <w:rPr>
          <w:rFonts w:hint="default" w:ascii="方正楷体_GBK" w:hAnsi="方正楷体_GBK" w:eastAsia="方正楷体_GBK" w:cs="方正楷体_GBK"/>
          <w:snapToGrid/>
          <w:color w:val="auto"/>
          <w:kern w:val="2"/>
          <w:sz w:val="32"/>
          <w:szCs w:val="32"/>
          <w:highlight w:val="none"/>
          <w:lang w:val="en-US" w:eastAsia="zh-CN"/>
        </w:rPr>
        <w:t>（三）</w:t>
      </w:r>
      <w:r>
        <w:rPr>
          <w:rFonts w:hint="eastAsia" w:ascii="方正楷体_GBK" w:hAnsi="方正楷体_GBK" w:eastAsia="方正楷体_GBK" w:cs="方正楷体_GBK"/>
          <w:snapToGrid/>
          <w:color w:val="auto"/>
          <w:kern w:val="2"/>
          <w:sz w:val="32"/>
          <w:szCs w:val="32"/>
          <w:highlight w:val="none"/>
          <w:lang w:val="en-US" w:eastAsia="zh-CN"/>
        </w:rPr>
        <w:t>主要</w:t>
      </w:r>
      <w:r>
        <w:rPr>
          <w:rFonts w:hint="default" w:ascii="方正楷体_GBK" w:hAnsi="方正楷体_GBK" w:eastAsia="方正楷体_GBK" w:cs="方正楷体_GBK"/>
          <w:snapToGrid/>
          <w:color w:val="auto"/>
          <w:kern w:val="2"/>
          <w:sz w:val="32"/>
          <w:szCs w:val="32"/>
          <w:highlight w:val="none"/>
          <w:lang w:val="en-US" w:eastAsia="zh-CN"/>
        </w:rPr>
        <w:t>目标</w:t>
      </w:r>
    </w:p>
    <w:p w14:paraId="6F67E7E7">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到2030年，</w:t>
      </w:r>
      <w:r>
        <w:rPr>
          <w:rFonts w:hint="eastAsia" w:ascii="Times New Roman" w:hAnsi="Times New Roman" w:eastAsia="方正仿宋_GBK" w:cs="Times New Roman"/>
          <w:snapToGrid/>
          <w:color w:val="auto"/>
          <w:kern w:val="2"/>
          <w:sz w:val="32"/>
          <w:szCs w:val="32"/>
          <w:highlight w:val="none"/>
          <w:lang w:val="en-US" w:eastAsia="zh-CN"/>
        </w:rPr>
        <w:t>全市地震灾害风险防范应对综合能力全面提升。地震</w:t>
      </w:r>
      <w:r>
        <w:rPr>
          <w:rFonts w:hint="default" w:ascii="Times New Roman" w:hAnsi="Times New Roman" w:eastAsia="方正仿宋_GBK" w:cs="Times New Roman"/>
          <w:snapToGrid/>
          <w:color w:val="auto"/>
          <w:kern w:val="2"/>
          <w:sz w:val="32"/>
          <w:szCs w:val="32"/>
          <w:highlight w:val="none"/>
          <w:lang w:val="en-US" w:eastAsia="zh-CN"/>
        </w:rPr>
        <w:t>监测预报预警、灾害风险防治、公共服务</w:t>
      </w:r>
      <w:r>
        <w:rPr>
          <w:rFonts w:hint="eastAsia"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snapToGrid/>
          <w:color w:val="auto"/>
          <w:kern w:val="2"/>
          <w:sz w:val="32"/>
          <w:szCs w:val="32"/>
          <w:highlight w:val="none"/>
          <w:lang w:val="en-US" w:eastAsia="zh-CN"/>
        </w:rPr>
        <w:t>应急</w:t>
      </w:r>
      <w:r>
        <w:rPr>
          <w:rFonts w:hint="eastAsia" w:ascii="Times New Roman" w:hAnsi="Times New Roman" w:eastAsia="方正仿宋_GBK" w:cs="Times New Roman"/>
          <w:snapToGrid/>
          <w:color w:val="auto"/>
          <w:kern w:val="2"/>
          <w:sz w:val="32"/>
          <w:szCs w:val="32"/>
          <w:highlight w:val="none"/>
          <w:lang w:val="en-US" w:eastAsia="zh-CN"/>
        </w:rPr>
        <w:t>响应和法治</w:t>
      </w:r>
      <w:r>
        <w:rPr>
          <w:rFonts w:hint="default" w:ascii="Times New Roman" w:hAnsi="Times New Roman" w:eastAsia="方正仿宋_GBK" w:cs="Times New Roman"/>
          <w:snapToGrid/>
          <w:color w:val="auto"/>
          <w:kern w:val="2"/>
          <w:sz w:val="32"/>
          <w:szCs w:val="32"/>
          <w:highlight w:val="none"/>
          <w:lang w:val="en-US" w:eastAsia="zh-CN"/>
        </w:rPr>
        <w:t>保障能力</w:t>
      </w:r>
      <w:r>
        <w:rPr>
          <w:rFonts w:hint="eastAsia" w:ascii="Times New Roman" w:hAnsi="Times New Roman" w:eastAsia="方正仿宋_GBK" w:cs="Times New Roman"/>
          <w:snapToGrid/>
          <w:color w:val="auto"/>
          <w:kern w:val="2"/>
          <w:sz w:val="32"/>
          <w:szCs w:val="32"/>
          <w:highlight w:val="none"/>
          <w:lang w:val="en-US" w:eastAsia="zh-CN"/>
        </w:rPr>
        <w:t>得到进一步提升</w:t>
      </w:r>
      <w:r>
        <w:rPr>
          <w:rFonts w:hint="default" w:ascii="Times New Roman" w:hAnsi="Times New Roman" w:eastAsia="方正仿宋_GBK" w:cs="Times New Roman"/>
          <w:snapToGrid/>
          <w:color w:val="auto"/>
          <w:kern w:val="2"/>
          <w:sz w:val="32"/>
          <w:szCs w:val="32"/>
          <w:highlight w:val="none"/>
          <w:lang w:val="en-US" w:eastAsia="zh-CN"/>
        </w:rPr>
        <w:t>，地震基本业务效能</w:t>
      </w:r>
      <w:r>
        <w:rPr>
          <w:rFonts w:hint="eastAsia" w:ascii="Times New Roman" w:hAnsi="Times New Roman" w:eastAsia="方正仿宋_GBK" w:cs="Times New Roman"/>
          <w:snapToGrid/>
          <w:color w:val="auto"/>
          <w:kern w:val="2"/>
          <w:sz w:val="32"/>
          <w:szCs w:val="32"/>
          <w:highlight w:val="none"/>
          <w:lang w:val="en-US" w:eastAsia="zh-CN"/>
        </w:rPr>
        <w:t>显著增强；持续完善</w:t>
      </w:r>
      <w:r>
        <w:rPr>
          <w:rFonts w:hint="default" w:ascii="Times New Roman" w:hAnsi="Times New Roman" w:eastAsia="方正仿宋_GBK" w:cs="Times New Roman"/>
          <w:snapToGrid/>
          <w:color w:val="auto"/>
          <w:kern w:val="2"/>
          <w:sz w:val="32"/>
          <w:szCs w:val="32"/>
          <w:highlight w:val="none"/>
          <w:lang w:val="en-US" w:eastAsia="zh-CN"/>
        </w:rPr>
        <w:t>高质量防震减灾公共服务体系，</w:t>
      </w:r>
      <w:r>
        <w:rPr>
          <w:rFonts w:hint="eastAsia" w:ascii="Times New Roman" w:hAnsi="Times New Roman" w:eastAsia="方正仿宋_GBK" w:cs="Times New Roman"/>
          <w:snapToGrid/>
          <w:color w:val="auto"/>
          <w:kern w:val="2"/>
          <w:sz w:val="32"/>
          <w:szCs w:val="32"/>
          <w:highlight w:val="none"/>
          <w:lang w:val="en-US" w:eastAsia="zh-CN"/>
        </w:rPr>
        <w:t>为我市经济社会发展和人民群众生命财产安全提供更加坚实可靠的地震安全保障。</w:t>
      </w:r>
    </w:p>
    <w:p w14:paraId="216C3C9E">
      <w:pPr>
        <w:widowControl/>
        <w:kinsoku w:val="0"/>
        <w:autoSpaceDE w:val="0"/>
        <w:autoSpaceDN w:val="0"/>
        <w:adjustRightInd w:val="0"/>
        <w:snapToGrid w:val="0"/>
        <w:spacing w:before="4" w:line="221" w:lineRule="auto"/>
        <w:jc w:val="left"/>
        <w:textAlignment w:val="baseline"/>
        <w:outlineLvl w:val="0"/>
        <w:rPr>
          <w:rFonts w:hint="eastAsia" w:ascii="方正黑体_GBK" w:hAnsi="方正黑体_GBK" w:eastAsia="方正黑体_GBK" w:cs="方正黑体_GBK"/>
          <w:snapToGrid w:val="0"/>
          <w:color w:val="000000"/>
          <w:spacing w:val="-2"/>
          <w:kern w:val="0"/>
          <w:sz w:val="30"/>
          <w:szCs w:val="30"/>
          <w:lang w:eastAsia="en-US"/>
        </w:rPr>
      </w:pPr>
    </w:p>
    <w:p w14:paraId="72F575A2">
      <w:pPr>
        <w:widowControl/>
        <w:kinsoku w:val="0"/>
        <w:autoSpaceDE w:val="0"/>
        <w:autoSpaceDN w:val="0"/>
        <w:adjustRightInd w:val="0"/>
        <w:snapToGrid w:val="0"/>
        <w:spacing w:before="4" w:line="221" w:lineRule="auto"/>
        <w:ind w:left="2082"/>
        <w:jc w:val="left"/>
        <w:textAlignment w:val="baseline"/>
        <w:outlineLvl w:val="0"/>
        <w:rPr>
          <w:rFonts w:hint="eastAsia" w:ascii="方正黑体_GBK" w:hAnsi="方正黑体_GBK" w:eastAsia="方正黑体_GBK" w:cs="方正黑体_GBK"/>
          <w:snapToGrid w:val="0"/>
          <w:color w:val="000000"/>
          <w:kern w:val="0"/>
          <w:sz w:val="30"/>
          <w:szCs w:val="30"/>
          <w:highlight w:val="none"/>
          <w:lang w:eastAsia="en-US"/>
        </w:rPr>
      </w:pPr>
      <w:r>
        <w:rPr>
          <w:rFonts w:hint="eastAsia" w:ascii="方正黑体_GBK" w:hAnsi="方正黑体_GBK" w:eastAsia="方正黑体_GBK" w:cs="方正黑体_GBK"/>
          <w:snapToGrid w:val="0"/>
          <w:color w:val="000000"/>
          <w:spacing w:val="-2"/>
          <w:kern w:val="0"/>
          <w:sz w:val="30"/>
          <w:szCs w:val="30"/>
          <w:highlight w:val="none"/>
          <w:lang w:eastAsia="en-US"/>
        </w:rPr>
        <w:t>“十五五”防震减灾事业发展主要指标</w:t>
      </w:r>
    </w:p>
    <w:p w14:paraId="086021DB">
      <w:pPr>
        <w:widowControl/>
        <w:kinsoku w:val="0"/>
        <w:autoSpaceDE w:val="0"/>
        <w:autoSpaceDN w:val="0"/>
        <w:adjustRightInd w:val="0"/>
        <w:snapToGrid w:val="0"/>
        <w:spacing w:line="103" w:lineRule="exact"/>
        <w:jc w:val="left"/>
        <w:textAlignment w:val="baseline"/>
        <w:rPr>
          <w:rFonts w:hint="eastAsia" w:ascii="方正黑体_GBK" w:hAnsi="方正黑体_GBK" w:eastAsia="方正黑体_GBK" w:cs="方正黑体_GBK"/>
          <w:snapToGrid w:val="0"/>
          <w:color w:val="000000"/>
          <w:kern w:val="0"/>
          <w:szCs w:val="21"/>
          <w:lang w:eastAsia="en-US"/>
        </w:rPr>
      </w:pPr>
    </w:p>
    <w:tbl>
      <w:tblPr>
        <w:tblStyle w:val="22"/>
        <w:tblW w:w="8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4729"/>
        <w:gridCol w:w="3112"/>
      </w:tblGrid>
      <w:tr w14:paraId="3F7D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3" w:type="dxa"/>
            <w:noWrap w:val="0"/>
            <w:vAlign w:val="top"/>
          </w:tcPr>
          <w:p w14:paraId="118D3F8A">
            <w:pPr>
              <w:widowControl/>
              <w:kinsoku w:val="0"/>
              <w:autoSpaceDE w:val="0"/>
              <w:autoSpaceDN w:val="0"/>
              <w:adjustRightInd w:val="0"/>
              <w:snapToGrid w:val="0"/>
              <w:spacing w:before="162" w:line="221" w:lineRule="auto"/>
              <w:ind w:left="187"/>
              <w:jc w:val="left"/>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9"/>
                <w:kern w:val="0"/>
                <w:sz w:val="24"/>
                <w:szCs w:val="24"/>
                <w:lang w:eastAsia="en-US"/>
              </w:rPr>
              <w:t>类别</w:t>
            </w:r>
          </w:p>
        </w:tc>
        <w:tc>
          <w:tcPr>
            <w:tcW w:w="4729" w:type="dxa"/>
            <w:noWrap w:val="0"/>
            <w:vAlign w:val="top"/>
          </w:tcPr>
          <w:p w14:paraId="1EA0E059">
            <w:pPr>
              <w:widowControl/>
              <w:kinsoku w:val="0"/>
              <w:autoSpaceDE w:val="0"/>
              <w:autoSpaceDN w:val="0"/>
              <w:adjustRightInd w:val="0"/>
              <w:snapToGrid w:val="0"/>
              <w:spacing w:before="162" w:line="223" w:lineRule="auto"/>
              <w:ind w:left="1486"/>
              <w:jc w:val="left"/>
              <w:textAlignment w:val="baseline"/>
              <w:rPr>
                <w:rFonts w:hint="eastAsia" w:ascii="方正黑体_GBK" w:hAnsi="方正黑体_GBK" w:eastAsia="方正黑体_GBK" w:cs="方正黑体_GBK"/>
                <w:snapToGrid w:val="0"/>
                <w:color w:val="000000"/>
                <w:kern w:val="0"/>
                <w:sz w:val="24"/>
                <w:szCs w:val="24"/>
                <w:lang w:val="en-US" w:eastAsia="zh-CN"/>
              </w:rPr>
            </w:pPr>
            <w:r>
              <w:rPr>
                <w:rFonts w:hint="eastAsia" w:ascii="方正黑体_GBK" w:hAnsi="方正黑体_GBK" w:eastAsia="方正黑体_GBK" w:cs="方正黑体_GBK"/>
                <w:snapToGrid w:val="0"/>
                <w:color w:val="000000"/>
                <w:spacing w:val="-5"/>
                <w:kern w:val="0"/>
                <w:sz w:val="24"/>
                <w:szCs w:val="24"/>
                <w:lang w:eastAsia="en-US"/>
              </w:rPr>
              <w:t>指</w:t>
            </w:r>
            <w:r>
              <w:rPr>
                <w:rFonts w:hint="eastAsia" w:ascii="方正黑体_GBK" w:hAnsi="方正黑体_GBK" w:eastAsia="方正黑体_GBK" w:cs="方正黑体_GBK"/>
                <w:snapToGrid w:val="0"/>
                <w:color w:val="000000"/>
                <w:spacing w:val="2"/>
                <w:kern w:val="0"/>
                <w:sz w:val="24"/>
                <w:szCs w:val="24"/>
                <w:lang w:eastAsia="en-US"/>
              </w:rPr>
              <w:t xml:space="preserve">  </w:t>
            </w:r>
            <w:r>
              <w:rPr>
                <w:rFonts w:hint="eastAsia" w:ascii="方正黑体_GBK" w:hAnsi="方正黑体_GBK" w:eastAsia="方正黑体_GBK" w:cs="方正黑体_GBK"/>
                <w:snapToGrid w:val="0"/>
                <w:color w:val="000000"/>
                <w:spacing w:val="-5"/>
                <w:kern w:val="0"/>
                <w:sz w:val="24"/>
                <w:szCs w:val="24"/>
                <w:lang w:eastAsia="en-US"/>
              </w:rPr>
              <w:t>标</w:t>
            </w:r>
            <w:r>
              <w:rPr>
                <w:rFonts w:hint="eastAsia" w:ascii="方正黑体_GBK" w:hAnsi="方正黑体_GBK" w:eastAsia="方正黑体_GBK" w:cs="方正黑体_GBK"/>
                <w:snapToGrid w:val="0"/>
                <w:color w:val="000000"/>
                <w:spacing w:val="-5"/>
                <w:kern w:val="0"/>
                <w:sz w:val="24"/>
                <w:szCs w:val="24"/>
                <w:lang w:val="en-US" w:eastAsia="zh-CN"/>
              </w:rPr>
              <w:t xml:space="preserve">  内  容</w:t>
            </w:r>
          </w:p>
        </w:tc>
        <w:tc>
          <w:tcPr>
            <w:tcW w:w="3112" w:type="dxa"/>
            <w:noWrap w:val="0"/>
            <w:vAlign w:val="top"/>
          </w:tcPr>
          <w:p w14:paraId="68815C51">
            <w:pPr>
              <w:widowControl/>
              <w:kinsoku w:val="0"/>
              <w:autoSpaceDE w:val="0"/>
              <w:autoSpaceDN w:val="0"/>
              <w:adjustRightInd w:val="0"/>
              <w:snapToGrid w:val="0"/>
              <w:spacing w:before="162" w:line="223" w:lineRule="auto"/>
              <w:jc w:val="center"/>
              <w:textAlignment w:val="baseline"/>
              <w:rPr>
                <w:rFonts w:hint="eastAsia" w:ascii="方正黑体_GBK" w:hAnsi="方正黑体_GBK" w:eastAsia="方正黑体_GBK" w:cs="方正黑体_GBK"/>
                <w:snapToGrid w:val="0"/>
                <w:color w:val="000000"/>
                <w:kern w:val="0"/>
                <w:sz w:val="24"/>
                <w:szCs w:val="24"/>
                <w:lang w:eastAsia="zh-CN"/>
              </w:rPr>
            </w:pPr>
            <w:r>
              <w:rPr>
                <w:rFonts w:hint="eastAsia" w:ascii="方正黑体_GBK" w:hAnsi="方正黑体_GBK" w:eastAsia="方正黑体_GBK" w:cs="方正黑体_GBK"/>
                <w:snapToGrid w:val="0"/>
                <w:color w:val="000000"/>
                <w:spacing w:val="-3"/>
                <w:kern w:val="0"/>
                <w:sz w:val="24"/>
                <w:szCs w:val="24"/>
                <w:lang w:val="en-US" w:eastAsia="zh-CN"/>
              </w:rPr>
              <w:t>预期值</w:t>
            </w:r>
          </w:p>
        </w:tc>
      </w:tr>
      <w:tr w14:paraId="1F92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23" w:type="dxa"/>
            <w:vMerge w:val="restart"/>
            <w:tcBorders>
              <w:bottom w:val="nil"/>
            </w:tcBorders>
            <w:noWrap w:val="0"/>
            <w:vAlign w:val="center"/>
          </w:tcPr>
          <w:p w14:paraId="29866D14">
            <w:pPr>
              <w:pStyle w:val="23"/>
              <w:widowControl/>
              <w:kinsoku w:val="0"/>
              <w:autoSpaceDE w:val="0"/>
              <w:autoSpaceDN w:val="0"/>
              <w:adjustRightInd w:val="0"/>
              <w:snapToGrid w:val="0"/>
              <w:spacing w:before="53" w:line="221" w:lineRule="auto"/>
              <w:ind w:left="186"/>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9"/>
                <w:kern w:val="0"/>
                <w:sz w:val="22"/>
                <w:szCs w:val="22"/>
              </w:rPr>
              <w:t>监测</w:t>
            </w:r>
          </w:p>
          <w:p w14:paraId="1E59ABA2">
            <w:pPr>
              <w:pStyle w:val="23"/>
              <w:widowControl/>
              <w:kinsoku w:val="0"/>
              <w:autoSpaceDE w:val="0"/>
              <w:autoSpaceDN w:val="0"/>
              <w:adjustRightInd w:val="0"/>
              <w:snapToGrid w:val="0"/>
              <w:spacing w:before="31" w:line="214" w:lineRule="auto"/>
              <w:ind w:left="188"/>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0"/>
                <w:kern w:val="0"/>
                <w:sz w:val="22"/>
                <w:szCs w:val="22"/>
              </w:rPr>
              <w:t>预报</w:t>
            </w:r>
          </w:p>
          <w:p w14:paraId="38541220">
            <w:pPr>
              <w:pStyle w:val="23"/>
              <w:widowControl/>
              <w:kinsoku w:val="0"/>
              <w:autoSpaceDE w:val="0"/>
              <w:autoSpaceDN w:val="0"/>
              <w:adjustRightInd w:val="0"/>
              <w:snapToGrid w:val="0"/>
              <w:spacing w:before="38" w:line="216" w:lineRule="auto"/>
              <w:ind w:left="188"/>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0"/>
                <w:kern w:val="0"/>
                <w:sz w:val="22"/>
                <w:szCs w:val="22"/>
              </w:rPr>
              <w:t>预警</w:t>
            </w:r>
          </w:p>
          <w:p w14:paraId="7606F903">
            <w:pPr>
              <w:pStyle w:val="23"/>
              <w:widowControl/>
              <w:kinsoku w:val="0"/>
              <w:autoSpaceDE w:val="0"/>
              <w:autoSpaceDN w:val="0"/>
              <w:adjustRightInd w:val="0"/>
              <w:snapToGrid w:val="0"/>
              <w:spacing w:before="44" w:line="201" w:lineRule="auto"/>
              <w:ind w:left="199"/>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5"/>
                <w:kern w:val="0"/>
                <w:sz w:val="22"/>
                <w:szCs w:val="22"/>
              </w:rPr>
              <w:t>能力</w:t>
            </w:r>
          </w:p>
        </w:tc>
        <w:tc>
          <w:tcPr>
            <w:tcW w:w="4729" w:type="dxa"/>
            <w:noWrap w:val="0"/>
            <w:vAlign w:val="center"/>
          </w:tcPr>
          <w:p w14:paraId="06C3E67D">
            <w:pPr>
              <w:pStyle w:val="23"/>
              <w:widowControl/>
              <w:kinsoku w:val="0"/>
              <w:autoSpaceDE w:val="0"/>
              <w:autoSpaceDN w:val="0"/>
              <w:adjustRightInd w:val="0"/>
              <w:snapToGrid w:val="0"/>
              <w:spacing w:before="101" w:line="214" w:lineRule="auto"/>
              <w:jc w:val="both"/>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eastAsia" w:ascii="Times New Roman" w:hAnsi="Times New Roman" w:eastAsia="方正仿宋_GBK" w:cs="Times New Roman"/>
                <w:snapToGrid w:val="0"/>
                <w:color w:val="auto"/>
                <w:spacing w:val="-2"/>
                <w:kern w:val="0"/>
                <w:sz w:val="22"/>
                <w:szCs w:val="22"/>
                <w:highlight w:val="none"/>
                <w:lang w:val="en-US" w:eastAsia="zh-CN"/>
              </w:rPr>
              <w:t>地震监测能力</w:t>
            </w:r>
          </w:p>
        </w:tc>
        <w:tc>
          <w:tcPr>
            <w:tcW w:w="3112" w:type="dxa"/>
            <w:noWrap w:val="0"/>
            <w:vAlign w:val="center"/>
          </w:tcPr>
          <w:p w14:paraId="5EA076C5">
            <w:pPr>
              <w:pStyle w:val="23"/>
              <w:widowControl/>
              <w:kinsoku w:val="0"/>
              <w:autoSpaceDE w:val="0"/>
              <w:autoSpaceDN w:val="0"/>
              <w:adjustRightInd w:val="0"/>
              <w:snapToGrid w:val="0"/>
              <w:spacing w:before="101" w:line="215" w:lineRule="auto"/>
              <w:jc w:val="center"/>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kern w:val="0"/>
                <w:sz w:val="22"/>
                <w:szCs w:val="22"/>
                <w:highlight w:val="none"/>
                <w:lang w:val="en-US" w:eastAsia="zh-CN"/>
              </w:rPr>
              <w:t>全市地震监测能力达到0.5级</w:t>
            </w:r>
          </w:p>
        </w:tc>
      </w:tr>
      <w:tr w14:paraId="731C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23" w:type="dxa"/>
            <w:vMerge w:val="continue"/>
            <w:tcBorders>
              <w:top w:val="nil"/>
              <w:bottom w:val="nil"/>
            </w:tcBorders>
            <w:noWrap w:val="0"/>
            <w:vAlign w:val="center"/>
          </w:tcPr>
          <w:p w14:paraId="01ACE5A4">
            <w:pPr>
              <w:widowControl/>
              <w:kinsoku w:val="0"/>
              <w:autoSpaceDE w:val="0"/>
              <w:autoSpaceDN w:val="0"/>
              <w:adjustRightInd w:val="0"/>
              <w:snapToGrid w:val="0"/>
              <w:spacing w:line="240" w:lineRule="auto"/>
              <w:jc w:val="both"/>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6174218E">
            <w:pPr>
              <w:pStyle w:val="23"/>
              <w:widowControl/>
              <w:kinsoku w:val="0"/>
              <w:autoSpaceDE w:val="0"/>
              <w:autoSpaceDN w:val="0"/>
              <w:adjustRightInd w:val="0"/>
              <w:snapToGrid w:val="0"/>
              <w:spacing w:before="53" w:line="201" w:lineRule="auto"/>
              <w:jc w:val="both"/>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eastAsia" w:ascii="Times New Roman" w:hAnsi="Times New Roman" w:eastAsia="方正仿宋_GBK" w:cs="Times New Roman"/>
                <w:snapToGrid w:val="0"/>
                <w:color w:val="auto"/>
                <w:kern w:val="0"/>
                <w:sz w:val="22"/>
                <w:szCs w:val="22"/>
                <w:highlight w:val="none"/>
                <w:lang w:val="en-US" w:eastAsia="zh-CN"/>
              </w:rPr>
              <w:t>地震预警公众覆盖率</w:t>
            </w:r>
          </w:p>
        </w:tc>
        <w:tc>
          <w:tcPr>
            <w:tcW w:w="3112" w:type="dxa"/>
            <w:noWrap w:val="0"/>
            <w:vAlign w:val="center"/>
          </w:tcPr>
          <w:p w14:paraId="75B321DB">
            <w:pPr>
              <w:pStyle w:val="23"/>
              <w:widowControl/>
              <w:kinsoku w:val="0"/>
              <w:autoSpaceDE w:val="0"/>
              <w:autoSpaceDN w:val="0"/>
              <w:adjustRightInd w:val="0"/>
              <w:snapToGrid w:val="0"/>
              <w:spacing w:before="53" w:line="201" w:lineRule="auto"/>
              <w:jc w:val="center"/>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kern w:val="0"/>
                <w:sz w:val="22"/>
                <w:szCs w:val="22"/>
                <w:highlight w:val="none"/>
                <w:lang w:val="en-US" w:eastAsia="zh-CN"/>
              </w:rPr>
              <w:t>全口径人口覆盖率≥40%</w:t>
            </w:r>
          </w:p>
        </w:tc>
      </w:tr>
      <w:tr w14:paraId="47C44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23" w:type="dxa"/>
            <w:vMerge w:val="continue"/>
            <w:tcBorders>
              <w:top w:val="nil"/>
            </w:tcBorders>
            <w:noWrap w:val="0"/>
            <w:vAlign w:val="center"/>
          </w:tcPr>
          <w:p w14:paraId="4D9CE9E9">
            <w:pPr>
              <w:widowControl/>
              <w:kinsoku w:val="0"/>
              <w:autoSpaceDE w:val="0"/>
              <w:autoSpaceDN w:val="0"/>
              <w:adjustRightInd w:val="0"/>
              <w:snapToGrid w:val="0"/>
              <w:spacing w:line="240" w:lineRule="auto"/>
              <w:jc w:val="both"/>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7D0EA821">
            <w:pPr>
              <w:pStyle w:val="23"/>
              <w:widowControl/>
              <w:kinsoku w:val="0"/>
              <w:autoSpaceDE w:val="0"/>
              <w:autoSpaceDN w:val="0"/>
              <w:adjustRightInd w:val="0"/>
              <w:snapToGrid w:val="0"/>
              <w:spacing w:before="152" w:line="214" w:lineRule="auto"/>
              <w:jc w:val="both"/>
              <w:textAlignment w:val="baseline"/>
              <w:rPr>
                <w:rFonts w:hint="default" w:ascii="Times New Roman" w:hAnsi="Times New Roman" w:eastAsia="方正仿宋_GBK" w:cs="Times New Roman"/>
                <w:snapToGrid w:val="0"/>
                <w:color w:val="auto"/>
                <w:kern w:val="0"/>
                <w:sz w:val="22"/>
                <w:szCs w:val="22"/>
              </w:rPr>
            </w:pPr>
            <w:r>
              <w:rPr>
                <w:rFonts w:hint="default" w:ascii="Times New Roman" w:hAnsi="Times New Roman" w:eastAsia="方正仿宋_GBK" w:cs="Times New Roman"/>
                <w:snapToGrid w:val="0"/>
                <w:color w:val="auto"/>
                <w:spacing w:val="-2"/>
                <w:kern w:val="0"/>
                <w:sz w:val="22"/>
                <w:szCs w:val="22"/>
              </w:rPr>
              <w:t>年度观测站网稳定运行率</w:t>
            </w:r>
          </w:p>
        </w:tc>
        <w:tc>
          <w:tcPr>
            <w:tcW w:w="3112" w:type="dxa"/>
            <w:noWrap w:val="0"/>
            <w:vAlign w:val="center"/>
          </w:tcPr>
          <w:p w14:paraId="2CA5891A">
            <w:pPr>
              <w:pStyle w:val="23"/>
              <w:widowControl/>
              <w:kinsoku w:val="0"/>
              <w:autoSpaceDE w:val="0"/>
              <w:autoSpaceDN w:val="0"/>
              <w:adjustRightInd w:val="0"/>
              <w:snapToGrid w:val="0"/>
              <w:spacing w:before="153" w:line="236" w:lineRule="auto"/>
              <w:jc w:val="center"/>
              <w:textAlignment w:val="baseline"/>
              <w:rPr>
                <w:rFonts w:hint="default" w:ascii="Times New Roman" w:hAnsi="Times New Roman" w:eastAsia="方正仿宋_GBK" w:cs="Times New Roman"/>
                <w:snapToGrid w:val="0"/>
                <w:color w:val="auto"/>
                <w:kern w:val="0"/>
                <w:sz w:val="22"/>
                <w:szCs w:val="22"/>
                <w:highlight w:val="yellow"/>
              </w:rPr>
            </w:pPr>
            <w:r>
              <w:rPr>
                <w:rFonts w:hint="default" w:ascii="Times New Roman" w:hAnsi="Times New Roman" w:eastAsia="方正仿宋_GBK" w:cs="Times New Roman"/>
                <w:snapToGrid w:val="0"/>
                <w:color w:val="auto"/>
                <w:spacing w:val="-16"/>
                <w:kern w:val="0"/>
                <w:sz w:val="22"/>
                <w:szCs w:val="22"/>
                <w:highlight w:val="none"/>
              </w:rPr>
              <w:t>≥99%</w:t>
            </w:r>
          </w:p>
        </w:tc>
      </w:tr>
      <w:tr w14:paraId="476B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23" w:type="dxa"/>
            <w:vMerge w:val="restart"/>
            <w:tcBorders>
              <w:bottom w:val="nil"/>
            </w:tcBorders>
            <w:noWrap w:val="0"/>
            <w:vAlign w:val="top"/>
          </w:tcPr>
          <w:p w14:paraId="5DF0E6D2">
            <w:pPr>
              <w:pStyle w:val="23"/>
              <w:widowControl/>
              <w:kinsoku w:val="0"/>
              <w:autoSpaceDE w:val="0"/>
              <w:autoSpaceDN w:val="0"/>
              <w:adjustRightInd w:val="0"/>
              <w:snapToGrid w:val="0"/>
              <w:spacing w:before="61" w:line="216" w:lineRule="auto"/>
              <w:ind w:left="178"/>
              <w:jc w:val="left"/>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5"/>
                <w:kern w:val="0"/>
                <w:sz w:val="22"/>
                <w:szCs w:val="22"/>
              </w:rPr>
              <w:t>探查</w:t>
            </w:r>
          </w:p>
          <w:p w14:paraId="5C621F52">
            <w:pPr>
              <w:pStyle w:val="23"/>
              <w:widowControl/>
              <w:kinsoku w:val="0"/>
              <w:autoSpaceDE w:val="0"/>
              <w:autoSpaceDN w:val="0"/>
              <w:adjustRightInd w:val="0"/>
              <w:snapToGrid w:val="0"/>
              <w:spacing w:before="41" w:line="214" w:lineRule="auto"/>
              <w:ind w:left="211"/>
              <w:jc w:val="left"/>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22"/>
                <w:kern w:val="0"/>
                <w:sz w:val="22"/>
                <w:szCs w:val="22"/>
              </w:rPr>
              <w:t>区划</w:t>
            </w:r>
          </w:p>
          <w:p w14:paraId="4EA2C1F9">
            <w:pPr>
              <w:pStyle w:val="23"/>
              <w:widowControl/>
              <w:kinsoku w:val="0"/>
              <w:autoSpaceDE w:val="0"/>
              <w:autoSpaceDN w:val="0"/>
              <w:adjustRightInd w:val="0"/>
              <w:snapToGrid w:val="0"/>
              <w:spacing w:before="40" w:line="216" w:lineRule="auto"/>
              <w:ind w:left="178"/>
              <w:jc w:val="left"/>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5"/>
                <w:kern w:val="0"/>
                <w:sz w:val="22"/>
                <w:szCs w:val="22"/>
              </w:rPr>
              <w:t>评估</w:t>
            </w:r>
          </w:p>
          <w:p w14:paraId="6C238C83">
            <w:pPr>
              <w:pStyle w:val="23"/>
              <w:widowControl/>
              <w:kinsoku w:val="0"/>
              <w:autoSpaceDE w:val="0"/>
              <w:autoSpaceDN w:val="0"/>
              <w:adjustRightInd w:val="0"/>
              <w:snapToGrid w:val="0"/>
              <w:spacing w:before="39" w:line="209" w:lineRule="auto"/>
              <w:ind w:left="199"/>
              <w:jc w:val="left"/>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5"/>
                <w:kern w:val="0"/>
                <w:sz w:val="22"/>
                <w:szCs w:val="22"/>
              </w:rPr>
              <w:t>能力</w:t>
            </w:r>
          </w:p>
        </w:tc>
        <w:tc>
          <w:tcPr>
            <w:tcW w:w="4729" w:type="dxa"/>
            <w:noWrap w:val="0"/>
            <w:vAlign w:val="center"/>
          </w:tcPr>
          <w:p w14:paraId="5677E372">
            <w:pPr>
              <w:pStyle w:val="23"/>
              <w:widowControl/>
              <w:kinsoku w:val="0"/>
              <w:autoSpaceDE w:val="0"/>
              <w:autoSpaceDN w:val="0"/>
              <w:adjustRightInd w:val="0"/>
              <w:snapToGrid w:val="0"/>
              <w:spacing w:before="52" w:line="202" w:lineRule="auto"/>
              <w:jc w:val="both"/>
              <w:textAlignment w:val="baseline"/>
              <w:rPr>
                <w:rFonts w:hint="eastAsia" w:ascii="Times New Roman" w:hAnsi="Times New Roman" w:eastAsia="方正仿宋_GBK" w:cs="Times New Roman"/>
                <w:snapToGrid w:val="0"/>
                <w:color w:val="000000"/>
                <w:kern w:val="0"/>
                <w:sz w:val="22"/>
                <w:szCs w:val="22"/>
                <w:highlight w:val="none"/>
                <w:lang w:eastAsia="zh-CN"/>
              </w:rPr>
            </w:pPr>
            <w:r>
              <w:rPr>
                <w:rFonts w:hint="eastAsia" w:ascii="Times New Roman" w:hAnsi="Times New Roman" w:eastAsia="方正仿宋_GBK" w:cs="Times New Roman"/>
                <w:snapToGrid w:val="0"/>
                <w:color w:val="000000"/>
                <w:spacing w:val="-1"/>
                <w:kern w:val="0"/>
                <w:sz w:val="22"/>
                <w:szCs w:val="22"/>
                <w:highlight w:val="none"/>
                <w:lang w:val="en-US" w:eastAsia="zh-CN"/>
              </w:rPr>
              <w:t>县级地震构造探查项目实施数量</w:t>
            </w:r>
          </w:p>
        </w:tc>
        <w:tc>
          <w:tcPr>
            <w:tcW w:w="3112" w:type="dxa"/>
            <w:noWrap w:val="0"/>
            <w:vAlign w:val="center"/>
          </w:tcPr>
          <w:p w14:paraId="24F382B9">
            <w:pPr>
              <w:pStyle w:val="23"/>
              <w:widowControl/>
              <w:kinsoku w:val="0"/>
              <w:autoSpaceDE w:val="0"/>
              <w:autoSpaceDN w:val="0"/>
              <w:adjustRightInd w:val="0"/>
              <w:snapToGrid w:val="0"/>
              <w:spacing w:before="52" w:line="202" w:lineRule="auto"/>
              <w:jc w:val="center"/>
              <w:textAlignment w:val="baseline"/>
              <w:rPr>
                <w:rFonts w:hint="default" w:ascii="Times New Roman" w:hAnsi="Times New Roman" w:eastAsia="方正仿宋_GBK" w:cs="Times New Roman"/>
                <w:snapToGrid w:val="0"/>
                <w:color w:val="000000"/>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eastAsia" w:ascii="Times New Roman" w:hAnsi="Times New Roman" w:eastAsia="方正仿宋_GBK" w:cs="Times New Roman"/>
                <w:snapToGrid w:val="0"/>
                <w:color w:val="auto"/>
                <w:spacing w:val="-16"/>
                <w:kern w:val="0"/>
                <w:sz w:val="22"/>
                <w:szCs w:val="22"/>
                <w:highlight w:val="none"/>
                <w:lang w:val="en-US" w:eastAsia="zh-CN"/>
              </w:rPr>
              <w:t>2个</w:t>
            </w:r>
          </w:p>
        </w:tc>
      </w:tr>
      <w:tr w14:paraId="1EF4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23" w:type="dxa"/>
            <w:vMerge w:val="continue"/>
            <w:tcBorders>
              <w:top w:val="nil"/>
            </w:tcBorders>
            <w:noWrap w:val="0"/>
            <w:vAlign w:val="top"/>
          </w:tcPr>
          <w:p w14:paraId="55EFDBBF">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15D10356">
            <w:pPr>
              <w:pStyle w:val="23"/>
              <w:widowControl/>
              <w:kinsoku w:val="0"/>
              <w:autoSpaceDE w:val="0"/>
              <w:autoSpaceDN w:val="0"/>
              <w:adjustRightInd w:val="0"/>
              <w:snapToGrid w:val="0"/>
              <w:spacing w:before="51" w:line="224" w:lineRule="auto"/>
              <w:ind w:right="106"/>
              <w:jc w:val="both"/>
              <w:textAlignment w:val="baseline"/>
              <w:rPr>
                <w:rFonts w:hint="eastAsia" w:ascii="Times New Roman" w:hAnsi="Times New Roman" w:eastAsia="方正仿宋_GBK" w:cs="Times New Roman"/>
                <w:snapToGrid w:val="0"/>
                <w:color w:val="000000"/>
                <w:kern w:val="0"/>
                <w:sz w:val="22"/>
                <w:szCs w:val="22"/>
                <w:highlight w:val="none"/>
                <w:lang w:val="en-US" w:eastAsia="zh-CN"/>
              </w:rPr>
            </w:pPr>
            <w:r>
              <w:rPr>
                <w:rFonts w:hint="default" w:ascii="Times New Roman" w:hAnsi="Times New Roman" w:eastAsia="方正仿宋_GBK" w:cs="Times New Roman"/>
                <w:snapToGrid w:val="0"/>
                <w:color w:val="000000"/>
                <w:spacing w:val="7"/>
                <w:kern w:val="0"/>
                <w:sz w:val="22"/>
                <w:szCs w:val="22"/>
                <w:highlight w:val="none"/>
              </w:rPr>
              <w:t>地震灾害风险损失预评估区域</w:t>
            </w:r>
            <w:r>
              <w:rPr>
                <w:rFonts w:hint="eastAsia" w:ascii="Times New Roman" w:hAnsi="Times New Roman" w:eastAsia="方正仿宋_GBK" w:cs="Times New Roman"/>
                <w:snapToGrid w:val="0"/>
                <w:color w:val="000000"/>
                <w:spacing w:val="7"/>
                <w:kern w:val="0"/>
                <w:sz w:val="22"/>
                <w:szCs w:val="22"/>
                <w:highlight w:val="none"/>
                <w:lang w:val="en-US" w:eastAsia="zh-CN"/>
              </w:rPr>
              <w:t>覆盖率</w:t>
            </w:r>
          </w:p>
        </w:tc>
        <w:tc>
          <w:tcPr>
            <w:tcW w:w="3112" w:type="dxa"/>
            <w:noWrap w:val="0"/>
            <w:vAlign w:val="center"/>
          </w:tcPr>
          <w:p w14:paraId="172C72E1">
            <w:pPr>
              <w:pStyle w:val="23"/>
              <w:widowControl/>
              <w:kinsoku w:val="0"/>
              <w:autoSpaceDE w:val="0"/>
              <w:autoSpaceDN w:val="0"/>
              <w:adjustRightInd w:val="0"/>
              <w:snapToGrid w:val="0"/>
              <w:spacing w:before="52" w:line="202" w:lineRule="auto"/>
              <w:jc w:val="center"/>
              <w:textAlignment w:val="baseline"/>
              <w:rPr>
                <w:rFonts w:hint="default" w:ascii="Times New Roman" w:hAnsi="Times New Roman" w:eastAsia="方正仿宋_GBK" w:cs="Times New Roman"/>
                <w:snapToGrid w:val="0"/>
                <w:color w:val="000000"/>
                <w:spacing w:val="-16"/>
                <w:kern w:val="0"/>
                <w:sz w:val="22"/>
                <w:szCs w:val="22"/>
                <w:highlight w:val="none"/>
              </w:rPr>
            </w:pPr>
            <w:r>
              <w:rPr>
                <w:rFonts w:hint="default" w:ascii="Times New Roman" w:hAnsi="Times New Roman" w:eastAsia="方正仿宋_GBK" w:cs="Times New Roman"/>
                <w:snapToGrid w:val="0"/>
                <w:color w:val="000000"/>
                <w:spacing w:val="-16"/>
                <w:kern w:val="0"/>
                <w:sz w:val="22"/>
                <w:szCs w:val="22"/>
                <w:highlight w:val="none"/>
              </w:rPr>
              <w:t>100%</w:t>
            </w:r>
          </w:p>
        </w:tc>
      </w:tr>
      <w:tr w14:paraId="314A1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23" w:type="dxa"/>
            <w:vMerge w:val="restart"/>
            <w:tcBorders>
              <w:bottom w:val="nil"/>
            </w:tcBorders>
            <w:noWrap w:val="0"/>
            <w:vAlign w:val="center"/>
          </w:tcPr>
          <w:p w14:paraId="14A99D01">
            <w:pPr>
              <w:pStyle w:val="23"/>
              <w:widowControl/>
              <w:kinsoku w:val="0"/>
              <w:autoSpaceDE w:val="0"/>
              <w:autoSpaceDN w:val="0"/>
              <w:adjustRightInd w:val="0"/>
              <w:snapToGrid w:val="0"/>
              <w:spacing w:before="53" w:line="219" w:lineRule="auto"/>
              <w:ind w:left="200"/>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6"/>
                <w:kern w:val="0"/>
                <w:sz w:val="22"/>
                <w:szCs w:val="22"/>
              </w:rPr>
              <w:t>防震</w:t>
            </w:r>
          </w:p>
          <w:p w14:paraId="544B6D32">
            <w:pPr>
              <w:pStyle w:val="23"/>
              <w:widowControl/>
              <w:kinsoku w:val="0"/>
              <w:autoSpaceDE w:val="0"/>
              <w:autoSpaceDN w:val="0"/>
              <w:adjustRightInd w:val="0"/>
              <w:snapToGrid w:val="0"/>
              <w:spacing w:before="34" w:line="214" w:lineRule="auto"/>
              <w:ind w:left="177"/>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4"/>
                <w:kern w:val="0"/>
                <w:sz w:val="22"/>
                <w:szCs w:val="22"/>
              </w:rPr>
              <w:t>减灾</w:t>
            </w:r>
          </w:p>
          <w:p w14:paraId="52D195A5">
            <w:pPr>
              <w:pStyle w:val="23"/>
              <w:widowControl/>
              <w:kinsoku w:val="0"/>
              <w:autoSpaceDE w:val="0"/>
              <w:autoSpaceDN w:val="0"/>
              <w:adjustRightInd w:val="0"/>
              <w:snapToGrid w:val="0"/>
              <w:spacing w:before="43" w:line="216" w:lineRule="auto"/>
              <w:ind w:left="178"/>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5"/>
                <w:kern w:val="0"/>
                <w:sz w:val="22"/>
                <w:szCs w:val="22"/>
              </w:rPr>
              <w:t>公共</w:t>
            </w:r>
          </w:p>
          <w:p w14:paraId="1833174B">
            <w:pPr>
              <w:pStyle w:val="23"/>
              <w:widowControl/>
              <w:kinsoku w:val="0"/>
              <w:autoSpaceDE w:val="0"/>
              <w:autoSpaceDN w:val="0"/>
              <w:adjustRightInd w:val="0"/>
              <w:snapToGrid w:val="0"/>
              <w:spacing w:before="38" w:line="214" w:lineRule="auto"/>
              <w:ind w:left="181"/>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7"/>
                <w:kern w:val="0"/>
                <w:sz w:val="22"/>
                <w:szCs w:val="22"/>
              </w:rPr>
              <w:t>服务</w:t>
            </w:r>
          </w:p>
          <w:p w14:paraId="79E42B75">
            <w:pPr>
              <w:pStyle w:val="23"/>
              <w:widowControl/>
              <w:kinsoku w:val="0"/>
              <w:autoSpaceDE w:val="0"/>
              <w:autoSpaceDN w:val="0"/>
              <w:adjustRightInd w:val="0"/>
              <w:snapToGrid w:val="0"/>
              <w:spacing w:before="41" w:line="201" w:lineRule="auto"/>
              <w:ind w:left="199"/>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5"/>
                <w:kern w:val="0"/>
                <w:sz w:val="22"/>
                <w:szCs w:val="22"/>
              </w:rPr>
              <w:t>能力</w:t>
            </w:r>
          </w:p>
        </w:tc>
        <w:tc>
          <w:tcPr>
            <w:tcW w:w="4729" w:type="dxa"/>
            <w:noWrap w:val="0"/>
            <w:vAlign w:val="center"/>
          </w:tcPr>
          <w:p w14:paraId="2486C97B">
            <w:pPr>
              <w:pStyle w:val="23"/>
              <w:widowControl/>
              <w:kinsoku w:val="0"/>
              <w:autoSpaceDE w:val="0"/>
              <w:autoSpaceDN w:val="0"/>
              <w:adjustRightInd w:val="0"/>
              <w:snapToGrid w:val="0"/>
              <w:spacing w:before="39" w:line="223" w:lineRule="auto"/>
              <w:ind w:right="106" w:rightChars="0"/>
              <w:jc w:val="both"/>
              <w:textAlignment w:val="baseline"/>
              <w:rPr>
                <w:rFonts w:hint="default" w:ascii="Times New Roman" w:hAnsi="Times New Roman" w:eastAsia="方正仿宋_GBK" w:cs="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pacing w:val="-2"/>
                <w:kern w:val="0"/>
                <w:sz w:val="22"/>
                <w:szCs w:val="22"/>
                <w:highlight w:val="none"/>
                <w:lang w:val="en-US" w:eastAsia="zh-CN"/>
                <w14:textFill>
                  <w14:solidFill>
                    <w14:schemeClr w14:val="tx1"/>
                  </w14:solidFill>
                </w14:textFill>
              </w:rPr>
              <w:t>新建或升级改造地震</w:t>
            </w:r>
            <w:r>
              <w:rPr>
                <w:rFonts w:hint="default" w:ascii="Times New Roman" w:hAnsi="Times New Roman" w:eastAsia="方正仿宋_GBK" w:cs="Times New Roman"/>
                <w:snapToGrid w:val="0"/>
                <w:color w:val="000000" w:themeColor="text1"/>
                <w:spacing w:val="-2"/>
                <w:kern w:val="0"/>
                <w:sz w:val="22"/>
                <w:szCs w:val="22"/>
                <w:highlight w:val="none"/>
                <w:lang w:val="en-US" w:eastAsia="zh-CN"/>
                <w14:textFill>
                  <w14:solidFill>
                    <w14:schemeClr w14:val="tx1"/>
                  </w14:solidFill>
                </w14:textFill>
              </w:rPr>
              <w:t>科普馆</w:t>
            </w:r>
          </w:p>
        </w:tc>
        <w:tc>
          <w:tcPr>
            <w:tcW w:w="3112" w:type="dxa"/>
            <w:noWrap w:val="0"/>
            <w:vAlign w:val="center"/>
          </w:tcPr>
          <w:p w14:paraId="19E5E2CC">
            <w:pPr>
              <w:pStyle w:val="23"/>
              <w:widowControl/>
              <w:kinsoku w:val="0"/>
              <w:autoSpaceDE w:val="0"/>
              <w:autoSpaceDN w:val="0"/>
              <w:adjustRightInd w:val="0"/>
              <w:snapToGrid w:val="0"/>
              <w:spacing w:before="195" w:line="240" w:lineRule="auto"/>
              <w:jc w:val="center"/>
              <w:textAlignment w:val="baseline"/>
              <w:rPr>
                <w:rFonts w:hint="default" w:ascii="Times New Roman" w:hAnsi="Times New Roman" w:eastAsia="方正仿宋_GBK" w:cs="Times New Roman"/>
                <w:snapToGrid w:val="0"/>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pacing w:val="-16"/>
                <w:kern w:val="0"/>
                <w:sz w:val="22"/>
                <w:szCs w:val="22"/>
                <w:highlight w:val="none"/>
                <w14:textFill>
                  <w14:solidFill>
                    <w14:schemeClr w14:val="tx1"/>
                  </w14:solidFill>
                </w14:textFill>
              </w:rPr>
              <w:t>≥</w:t>
            </w:r>
            <w:r>
              <w:rPr>
                <w:rFonts w:hint="eastAsia" w:ascii="Times New Roman" w:hAnsi="Times New Roman" w:eastAsia="方正仿宋_GBK" w:cs="Times New Roman"/>
                <w:snapToGrid w:val="0"/>
                <w:color w:val="000000" w:themeColor="text1"/>
                <w:spacing w:val="-16"/>
                <w:kern w:val="0"/>
                <w:sz w:val="22"/>
                <w:szCs w:val="22"/>
                <w:highlight w:val="none"/>
                <w:lang w:val="en-US" w:eastAsia="zh-CN"/>
                <w14:textFill>
                  <w14:solidFill>
                    <w14:schemeClr w14:val="tx1"/>
                  </w14:solidFill>
                </w14:textFill>
              </w:rPr>
              <w:t>1个</w:t>
            </w:r>
          </w:p>
        </w:tc>
      </w:tr>
      <w:tr w14:paraId="03B7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3" w:type="dxa"/>
            <w:vMerge w:val="continue"/>
            <w:tcBorders>
              <w:top w:val="nil"/>
              <w:bottom w:val="nil"/>
            </w:tcBorders>
            <w:noWrap w:val="0"/>
            <w:vAlign w:val="center"/>
          </w:tcPr>
          <w:p w14:paraId="06822CAE">
            <w:pPr>
              <w:widowControl/>
              <w:kinsoku w:val="0"/>
              <w:autoSpaceDE w:val="0"/>
              <w:autoSpaceDN w:val="0"/>
              <w:adjustRightInd w:val="0"/>
              <w:snapToGrid w:val="0"/>
              <w:spacing w:line="240" w:lineRule="auto"/>
              <w:jc w:val="both"/>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24B1970F">
            <w:pPr>
              <w:pStyle w:val="23"/>
              <w:widowControl/>
              <w:kinsoku w:val="0"/>
              <w:autoSpaceDE w:val="0"/>
              <w:autoSpaceDN w:val="0"/>
              <w:adjustRightInd w:val="0"/>
              <w:snapToGrid w:val="0"/>
              <w:spacing w:before="43" w:line="209" w:lineRule="auto"/>
              <w:jc w:val="both"/>
              <w:textAlignment w:val="baseline"/>
              <w:rPr>
                <w:rFonts w:hint="default" w:ascii="Times New Roman" w:hAnsi="Times New Roman" w:eastAsia="方正仿宋_GBK" w:cs="Times New Roman"/>
                <w:snapToGrid w:val="0"/>
                <w:color w:val="auto"/>
                <w:kern w:val="0"/>
                <w:sz w:val="22"/>
                <w:szCs w:val="22"/>
                <w:highlight w:val="none"/>
              </w:rPr>
            </w:pPr>
            <w:r>
              <w:rPr>
                <w:rFonts w:hint="default" w:ascii="Times New Roman" w:hAnsi="Times New Roman" w:eastAsia="方正仿宋_GBK" w:cs="Times New Roman"/>
                <w:snapToGrid w:val="0"/>
                <w:color w:val="auto"/>
                <w:spacing w:val="-1"/>
                <w:kern w:val="0"/>
                <w:sz w:val="22"/>
                <w:szCs w:val="22"/>
                <w:highlight w:val="none"/>
              </w:rPr>
              <w:t>科普宣传活动</w:t>
            </w:r>
            <w:r>
              <w:rPr>
                <w:rFonts w:hint="eastAsia" w:ascii="Times New Roman" w:hAnsi="Times New Roman" w:eastAsia="方正仿宋_GBK" w:cs="Times New Roman"/>
                <w:snapToGrid w:val="0"/>
                <w:color w:val="auto"/>
                <w:spacing w:val="-1"/>
                <w:kern w:val="0"/>
                <w:sz w:val="22"/>
                <w:szCs w:val="22"/>
                <w:highlight w:val="none"/>
                <w:lang w:val="en-US" w:eastAsia="zh-CN"/>
              </w:rPr>
              <w:t>年度</w:t>
            </w:r>
            <w:r>
              <w:rPr>
                <w:rFonts w:hint="default" w:ascii="Times New Roman" w:hAnsi="Times New Roman" w:eastAsia="方正仿宋_GBK" w:cs="Times New Roman"/>
                <w:snapToGrid w:val="0"/>
                <w:color w:val="auto"/>
                <w:spacing w:val="-1"/>
                <w:kern w:val="0"/>
                <w:sz w:val="22"/>
                <w:szCs w:val="22"/>
                <w:highlight w:val="none"/>
              </w:rPr>
              <w:t>场次</w:t>
            </w:r>
          </w:p>
        </w:tc>
        <w:tc>
          <w:tcPr>
            <w:tcW w:w="3112" w:type="dxa"/>
            <w:noWrap w:val="0"/>
            <w:vAlign w:val="center"/>
          </w:tcPr>
          <w:p w14:paraId="0BF58BD3">
            <w:pPr>
              <w:pStyle w:val="23"/>
              <w:widowControl/>
              <w:kinsoku w:val="0"/>
              <w:autoSpaceDE w:val="0"/>
              <w:autoSpaceDN w:val="0"/>
              <w:adjustRightInd w:val="0"/>
              <w:snapToGrid w:val="0"/>
              <w:spacing w:before="43" w:line="209" w:lineRule="auto"/>
              <w:jc w:val="center"/>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eastAsia" w:ascii="Times New Roman" w:hAnsi="Times New Roman" w:eastAsia="方正仿宋_GBK" w:cs="Times New Roman"/>
                <w:snapToGrid w:val="0"/>
                <w:color w:val="auto"/>
                <w:spacing w:val="-16"/>
                <w:kern w:val="0"/>
                <w:sz w:val="22"/>
                <w:szCs w:val="22"/>
                <w:highlight w:val="none"/>
                <w:lang w:val="en-US" w:eastAsia="zh-CN"/>
              </w:rPr>
              <w:t>80场</w:t>
            </w:r>
          </w:p>
        </w:tc>
      </w:tr>
      <w:tr w14:paraId="2A8C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23" w:type="dxa"/>
            <w:vMerge w:val="continue"/>
            <w:tcBorders>
              <w:top w:val="nil"/>
            </w:tcBorders>
            <w:noWrap w:val="0"/>
            <w:vAlign w:val="center"/>
          </w:tcPr>
          <w:p w14:paraId="6E53F886">
            <w:pPr>
              <w:widowControl/>
              <w:kinsoku w:val="0"/>
              <w:autoSpaceDE w:val="0"/>
              <w:autoSpaceDN w:val="0"/>
              <w:adjustRightInd w:val="0"/>
              <w:snapToGrid w:val="0"/>
              <w:spacing w:line="240" w:lineRule="auto"/>
              <w:jc w:val="both"/>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6490E9C5">
            <w:pPr>
              <w:pStyle w:val="23"/>
              <w:widowControl/>
              <w:kinsoku w:val="0"/>
              <w:autoSpaceDE w:val="0"/>
              <w:autoSpaceDN w:val="0"/>
              <w:adjustRightInd w:val="0"/>
              <w:snapToGrid w:val="0"/>
              <w:spacing w:before="200" w:line="216" w:lineRule="auto"/>
              <w:jc w:val="both"/>
              <w:textAlignment w:val="baseline"/>
              <w:rPr>
                <w:rFonts w:hint="default" w:ascii="Times New Roman" w:hAnsi="Times New Roman" w:eastAsia="方正仿宋_GBK" w:cs="Times New Roman"/>
                <w:snapToGrid w:val="0"/>
                <w:color w:val="auto"/>
                <w:kern w:val="0"/>
                <w:sz w:val="22"/>
                <w:szCs w:val="22"/>
                <w:highlight w:val="none"/>
              </w:rPr>
            </w:pPr>
            <w:r>
              <w:rPr>
                <w:rFonts w:hint="default" w:ascii="Times New Roman" w:hAnsi="Times New Roman" w:eastAsia="方正仿宋_GBK" w:cs="Times New Roman"/>
                <w:snapToGrid w:val="0"/>
                <w:color w:val="auto"/>
                <w:spacing w:val="-1"/>
                <w:kern w:val="0"/>
                <w:sz w:val="22"/>
                <w:szCs w:val="22"/>
                <w:highlight w:val="none"/>
              </w:rPr>
              <w:t>科普年度覆盖人次</w:t>
            </w:r>
          </w:p>
        </w:tc>
        <w:tc>
          <w:tcPr>
            <w:tcW w:w="3112" w:type="dxa"/>
            <w:noWrap w:val="0"/>
            <w:vAlign w:val="center"/>
          </w:tcPr>
          <w:p w14:paraId="36ED0612">
            <w:pPr>
              <w:pStyle w:val="23"/>
              <w:widowControl/>
              <w:kinsoku w:val="0"/>
              <w:autoSpaceDE w:val="0"/>
              <w:autoSpaceDN w:val="0"/>
              <w:adjustRightInd w:val="0"/>
              <w:snapToGrid w:val="0"/>
              <w:spacing w:before="201" w:line="220" w:lineRule="auto"/>
              <w:jc w:val="center"/>
              <w:textAlignment w:val="baseline"/>
              <w:rPr>
                <w:rFonts w:hint="eastAsia"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spacing w:val="-15"/>
                <w:kern w:val="0"/>
                <w:sz w:val="22"/>
                <w:szCs w:val="22"/>
                <w:highlight w:val="none"/>
              </w:rPr>
              <w:t>≥</w:t>
            </w:r>
            <w:r>
              <w:rPr>
                <w:rFonts w:hint="eastAsia" w:ascii="Times New Roman" w:hAnsi="Times New Roman" w:eastAsia="方正仿宋_GBK" w:cs="Times New Roman"/>
                <w:snapToGrid w:val="0"/>
                <w:color w:val="auto"/>
                <w:spacing w:val="-15"/>
                <w:kern w:val="0"/>
                <w:sz w:val="22"/>
                <w:szCs w:val="22"/>
                <w:highlight w:val="none"/>
                <w:lang w:val="en-US" w:eastAsia="zh-CN"/>
              </w:rPr>
              <w:t>100</w:t>
            </w:r>
            <w:r>
              <w:rPr>
                <w:rFonts w:hint="default" w:ascii="Times New Roman" w:hAnsi="Times New Roman" w:eastAsia="方正仿宋_GBK" w:cs="Times New Roman"/>
                <w:snapToGrid w:val="0"/>
                <w:color w:val="auto"/>
                <w:spacing w:val="-15"/>
                <w:kern w:val="0"/>
                <w:sz w:val="22"/>
                <w:szCs w:val="22"/>
                <w:highlight w:val="none"/>
              </w:rPr>
              <w:t>万</w:t>
            </w:r>
            <w:r>
              <w:rPr>
                <w:rFonts w:hint="eastAsia" w:ascii="Times New Roman" w:hAnsi="Times New Roman" w:eastAsia="方正仿宋_GBK" w:cs="Times New Roman"/>
                <w:snapToGrid w:val="0"/>
                <w:color w:val="auto"/>
                <w:spacing w:val="-15"/>
                <w:kern w:val="0"/>
                <w:sz w:val="22"/>
                <w:szCs w:val="22"/>
                <w:highlight w:val="none"/>
                <w:lang w:val="en-US" w:eastAsia="zh-CN"/>
              </w:rPr>
              <w:t>人</w:t>
            </w:r>
          </w:p>
        </w:tc>
      </w:tr>
      <w:tr w14:paraId="5CB02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823" w:type="dxa"/>
            <w:vMerge w:val="restart"/>
            <w:tcBorders>
              <w:bottom w:val="nil"/>
            </w:tcBorders>
            <w:noWrap w:val="0"/>
            <w:vAlign w:val="center"/>
          </w:tcPr>
          <w:p w14:paraId="75BF8BDB">
            <w:pPr>
              <w:pStyle w:val="23"/>
              <w:widowControl/>
              <w:kinsoku w:val="0"/>
              <w:autoSpaceDE w:val="0"/>
              <w:autoSpaceDN w:val="0"/>
              <w:adjustRightInd w:val="0"/>
              <w:snapToGrid w:val="0"/>
              <w:spacing w:before="136" w:line="219" w:lineRule="auto"/>
              <w:ind w:left="177"/>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4"/>
                <w:kern w:val="0"/>
                <w:sz w:val="22"/>
                <w:szCs w:val="22"/>
              </w:rPr>
              <w:t>地震</w:t>
            </w:r>
          </w:p>
          <w:p w14:paraId="34D679D7">
            <w:pPr>
              <w:pStyle w:val="23"/>
              <w:widowControl/>
              <w:kinsoku w:val="0"/>
              <w:autoSpaceDE w:val="0"/>
              <w:autoSpaceDN w:val="0"/>
              <w:adjustRightInd w:val="0"/>
              <w:snapToGrid w:val="0"/>
              <w:spacing w:before="37" w:line="217" w:lineRule="auto"/>
              <w:ind w:left="178"/>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5"/>
                <w:kern w:val="0"/>
                <w:sz w:val="22"/>
                <w:szCs w:val="22"/>
              </w:rPr>
              <w:t>科技</w:t>
            </w:r>
          </w:p>
          <w:p w14:paraId="0446A207">
            <w:pPr>
              <w:pStyle w:val="23"/>
              <w:widowControl/>
              <w:kinsoku w:val="0"/>
              <w:autoSpaceDE w:val="0"/>
              <w:autoSpaceDN w:val="0"/>
              <w:adjustRightInd w:val="0"/>
              <w:snapToGrid w:val="0"/>
              <w:spacing w:before="34" w:line="215" w:lineRule="auto"/>
              <w:ind w:left="173"/>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2"/>
                <w:kern w:val="0"/>
                <w:sz w:val="22"/>
                <w:szCs w:val="22"/>
              </w:rPr>
              <w:t>创新</w:t>
            </w:r>
          </w:p>
          <w:p w14:paraId="6BFCCE72">
            <w:pPr>
              <w:pStyle w:val="23"/>
              <w:widowControl/>
              <w:kinsoku w:val="0"/>
              <w:autoSpaceDE w:val="0"/>
              <w:autoSpaceDN w:val="0"/>
              <w:adjustRightInd w:val="0"/>
              <w:snapToGrid w:val="0"/>
              <w:spacing w:before="41" w:line="214" w:lineRule="auto"/>
              <w:ind w:left="199"/>
              <w:jc w:val="both"/>
              <w:textAlignment w:val="baseline"/>
              <w:rPr>
                <w:rFonts w:hint="default" w:ascii="Times New Roman" w:hAnsi="Times New Roman" w:eastAsia="方正仿宋_GBK" w:cs="Times New Roman"/>
                <w:snapToGrid w:val="0"/>
                <w:color w:val="000000"/>
                <w:kern w:val="0"/>
                <w:sz w:val="22"/>
                <w:szCs w:val="22"/>
              </w:rPr>
            </w:pPr>
            <w:r>
              <w:rPr>
                <w:rFonts w:hint="default" w:ascii="Times New Roman" w:hAnsi="Times New Roman" w:eastAsia="方正仿宋_GBK" w:cs="Times New Roman"/>
                <w:snapToGrid w:val="0"/>
                <w:color w:val="000000"/>
                <w:spacing w:val="-15"/>
                <w:kern w:val="0"/>
                <w:sz w:val="22"/>
                <w:szCs w:val="22"/>
              </w:rPr>
              <w:t>能力</w:t>
            </w:r>
          </w:p>
        </w:tc>
        <w:tc>
          <w:tcPr>
            <w:tcW w:w="4729" w:type="dxa"/>
            <w:noWrap w:val="0"/>
            <w:vAlign w:val="center"/>
          </w:tcPr>
          <w:p w14:paraId="53EC76C7">
            <w:pPr>
              <w:pStyle w:val="23"/>
              <w:widowControl/>
              <w:kinsoku w:val="0"/>
              <w:autoSpaceDE w:val="0"/>
              <w:autoSpaceDN w:val="0"/>
              <w:adjustRightInd w:val="0"/>
              <w:snapToGrid w:val="0"/>
              <w:spacing w:before="132" w:line="247" w:lineRule="auto"/>
              <w:ind w:right="106"/>
              <w:jc w:val="both"/>
              <w:textAlignment w:val="baseline"/>
              <w:rPr>
                <w:rFonts w:hint="default" w:ascii="Times New Roman" w:hAnsi="Times New Roman" w:eastAsia="方正仿宋_GBK" w:cs="Times New Roman"/>
                <w:snapToGrid w:val="0"/>
                <w:color w:val="auto"/>
                <w:kern w:val="0"/>
                <w:sz w:val="22"/>
                <w:szCs w:val="22"/>
                <w:highlight w:val="none"/>
              </w:rPr>
            </w:pPr>
            <w:r>
              <w:rPr>
                <w:rFonts w:hint="default" w:ascii="Times New Roman" w:hAnsi="Times New Roman" w:eastAsia="方正仿宋_GBK" w:cs="Times New Roman"/>
                <w:snapToGrid w:val="0"/>
                <w:color w:val="auto"/>
                <w:kern w:val="0"/>
                <w:sz w:val="22"/>
                <w:szCs w:val="22"/>
                <w:highlight w:val="none"/>
              </w:rPr>
              <w:t>防震减灾工作专题研究报告和论文发表数量</w:t>
            </w:r>
          </w:p>
        </w:tc>
        <w:tc>
          <w:tcPr>
            <w:tcW w:w="3112" w:type="dxa"/>
            <w:noWrap w:val="0"/>
            <w:vAlign w:val="center"/>
          </w:tcPr>
          <w:p w14:paraId="6790D46A">
            <w:pPr>
              <w:pStyle w:val="23"/>
              <w:widowControl/>
              <w:kinsoku w:val="0"/>
              <w:autoSpaceDE w:val="0"/>
              <w:autoSpaceDN w:val="0"/>
              <w:adjustRightInd w:val="0"/>
              <w:snapToGrid w:val="0"/>
              <w:spacing w:before="292" w:line="236" w:lineRule="auto"/>
              <w:jc w:val="center"/>
              <w:textAlignment w:val="baseline"/>
              <w:rPr>
                <w:rFonts w:hint="eastAsia"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default" w:ascii="Times New Roman" w:hAnsi="Times New Roman" w:eastAsia="方正仿宋_GBK" w:cs="Times New Roman"/>
                <w:snapToGrid w:val="0"/>
                <w:color w:val="auto"/>
                <w:kern w:val="0"/>
                <w:sz w:val="22"/>
                <w:szCs w:val="22"/>
                <w:highlight w:val="none"/>
              </w:rPr>
              <w:t>20</w:t>
            </w:r>
            <w:r>
              <w:rPr>
                <w:rFonts w:hint="eastAsia" w:ascii="Times New Roman" w:hAnsi="Times New Roman" w:eastAsia="方正仿宋_GBK" w:cs="Times New Roman"/>
                <w:snapToGrid w:val="0"/>
                <w:color w:val="auto"/>
                <w:kern w:val="0"/>
                <w:sz w:val="22"/>
                <w:szCs w:val="22"/>
                <w:highlight w:val="none"/>
                <w:lang w:val="en-US" w:eastAsia="zh-CN"/>
              </w:rPr>
              <w:t>篇</w:t>
            </w:r>
          </w:p>
        </w:tc>
      </w:tr>
      <w:tr w14:paraId="0CFD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823" w:type="dxa"/>
            <w:vMerge w:val="continue"/>
            <w:tcBorders>
              <w:top w:val="nil"/>
            </w:tcBorders>
            <w:noWrap w:val="0"/>
            <w:vAlign w:val="top"/>
          </w:tcPr>
          <w:p w14:paraId="68279DA0">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0412263A">
            <w:pPr>
              <w:pStyle w:val="23"/>
              <w:widowControl/>
              <w:kinsoku w:val="0"/>
              <w:autoSpaceDE w:val="0"/>
              <w:autoSpaceDN w:val="0"/>
              <w:adjustRightInd w:val="0"/>
              <w:snapToGrid w:val="0"/>
              <w:spacing w:before="56" w:line="222" w:lineRule="auto"/>
              <w:ind w:right="106"/>
              <w:jc w:val="left"/>
              <w:textAlignment w:val="baseline"/>
              <w:rPr>
                <w:rFonts w:hint="default" w:ascii="Times New Roman" w:hAnsi="Times New Roman" w:eastAsia="方正仿宋_GBK" w:cs="Times New Roman"/>
                <w:snapToGrid w:val="0"/>
                <w:color w:val="000000"/>
                <w:spacing w:val="4"/>
                <w:kern w:val="0"/>
                <w:sz w:val="22"/>
                <w:szCs w:val="22"/>
                <w:highlight w:val="none"/>
                <w:lang w:val="en-US" w:eastAsia="zh-CN"/>
              </w:rPr>
            </w:pPr>
            <w:r>
              <w:rPr>
                <w:rFonts w:hint="default" w:ascii="Times New Roman" w:hAnsi="Times New Roman" w:eastAsia="方正仿宋_GBK" w:cs="Times New Roman"/>
                <w:snapToGrid w:val="0"/>
                <w:color w:val="000000"/>
                <w:spacing w:val="4"/>
                <w:kern w:val="0"/>
                <w:sz w:val="22"/>
                <w:szCs w:val="22"/>
                <w:highlight w:val="none"/>
                <w:lang w:val="en-US" w:eastAsia="zh-CN"/>
              </w:rPr>
              <w:t>承接申报科研课题、项目累计数量</w:t>
            </w:r>
          </w:p>
        </w:tc>
        <w:tc>
          <w:tcPr>
            <w:tcW w:w="3112" w:type="dxa"/>
            <w:noWrap w:val="0"/>
            <w:vAlign w:val="center"/>
          </w:tcPr>
          <w:p w14:paraId="785718BA">
            <w:pPr>
              <w:pStyle w:val="23"/>
              <w:widowControl/>
              <w:kinsoku w:val="0"/>
              <w:autoSpaceDE w:val="0"/>
              <w:autoSpaceDN w:val="0"/>
              <w:adjustRightInd w:val="0"/>
              <w:snapToGrid w:val="0"/>
              <w:spacing w:before="56" w:line="222" w:lineRule="auto"/>
              <w:ind w:left="112" w:right="106" w:firstLine="34"/>
              <w:jc w:val="center"/>
              <w:textAlignment w:val="baseline"/>
              <w:rPr>
                <w:rFonts w:hint="default" w:ascii="Times New Roman" w:hAnsi="Times New Roman" w:eastAsia="方正仿宋_GBK" w:cs="Times New Roman"/>
                <w:snapToGrid w:val="0"/>
                <w:color w:val="000000"/>
                <w:spacing w:val="4"/>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eastAsia" w:ascii="Times New Roman" w:hAnsi="Times New Roman" w:eastAsia="方正仿宋_GBK" w:cs="Times New Roman"/>
                <w:snapToGrid w:val="0"/>
                <w:color w:val="000000"/>
                <w:spacing w:val="4"/>
                <w:kern w:val="0"/>
                <w:sz w:val="22"/>
                <w:szCs w:val="22"/>
                <w:highlight w:val="none"/>
                <w:lang w:val="en-US" w:eastAsia="zh-CN"/>
              </w:rPr>
              <w:t>5项</w:t>
            </w:r>
          </w:p>
        </w:tc>
      </w:tr>
      <w:tr w14:paraId="75B8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3" w:type="dxa"/>
            <w:vMerge w:val="restart"/>
            <w:tcBorders>
              <w:bottom w:val="nil"/>
            </w:tcBorders>
            <w:noWrap w:val="0"/>
            <w:vAlign w:val="center"/>
          </w:tcPr>
          <w:p w14:paraId="02CD88F6">
            <w:pPr>
              <w:pStyle w:val="23"/>
              <w:widowControl/>
              <w:kinsoku w:val="0"/>
              <w:autoSpaceDE w:val="0"/>
              <w:autoSpaceDN w:val="0"/>
              <w:adjustRightInd w:val="0"/>
              <w:snapToGrid w:val="0"/>
              <w:spacing w:before="44" w:line="214" w:lineRule="auto"/>
              <w:jc w:val="center"/>
              <w:textAlignment w:val="baseline"/>
              <w:rPr>
                <w:rFonts w:hint="default" w:ascii="Times New Roman" w:hAnsi="Times New Roman" w:eastAsia="方正仿宋_GBK" w:cs="Times New Roman"/>
                <w:snapToGrid w:val="0"/>
                <w:color w:val="000000"/>
                <w:kern w:val="0"/>
                <w:sz w:val="22"/>
                <w:szCs w:val="22"/>
                <w:lang w:val="en-US" w:eastAsia="zh-CN"/>
              </w:rPr>
            </w:pPr>
            <w:r>
              <w:rPr>
                <w:rFonts w:hint="eastAsia" w:ascii="Times New Roman" w:hAnsi="Times New Roman" w:eastAsia="方正仿宋_GBK" w:cs="Times New Roman"/>
                <w:snapToGrid w:val="0"/>
                <w:color w:val="000000"/>
                <w:spacing w:val="-5"/>
                <w:kern w:val="0"/>
                <w:sz w:val="22"/>
                <w:szCs w:val="22"/>
                <w:lang w:val="en-US" w:eastAsia="zh-CN"/>
              </w:rPr>
              <w:t>地震应急响应支撑能力</w:t>
            </w:r>
          </w:p>
        </w:tc>
        <w:tc>
          <w:tcPr>
            <w:tcW w:w="4729" w:type="dxa"/>
            <w:noWrap w:val="0"/>
            <w:vAlign w:val="center"/>
          </w:tcPr>
          <w:p w14:paraId="5EEDDAE4">
            <w:pPr>
              <w:pStyle w:val="23"/>
              <w:widowControl/>
              <w:kinsoku w:val="0"/>
              <w:autoSpaceDE w:val="0"/>
              <w:autoSpaceDN w:val="0"/>
              <w:adjustRightInd w:val="0"/>
              <w:snapToGrid w:val="0"/>
              <w:spacing w:before="206" w:line="214" w:lineRule="auto"/>
              <w:jc w:val="both"/>
              <w:textAlignment w:val="baseline"/>
              <w:rPr>
                <w:rFonts w:hint="default" w:ascii="Times New Roman" w:hAnsi="Times New Roman" w:eastAsia="方正仿宋_GBK" w:cs="Times New Roman"/>
                <w:snapToGrid w:val="0"/>
                <w:color w:val="000000"/>
                <w:kern w:val="0"/>
                <w:sz w:val="22"/>
                <w:szCs w:val="22"/>
                <w:highlight w:val="none"/>
                <w:lang w:val="en-US" w:eastAsia="zh-CN"/>
              </w:rPr>
            </w:pPr>
            <w:r>
              <w:rPr>
                <w:rFonts w:hint="eastAsia" w:ascii="Times New Roman" w:hAnsi="Times New Roman" w:eastAsia="方正仿宋_GBK" w:cs="Times New Roman"/>
                <w:snapToGrid w:val="0"/>
                <w:color w:val="000000"/>
                <w:spacing w:val="-3"/>
                <w:kern w:val="0"/>
                <w:sz w:val="22"/>
                <w:szCs w:val="22"/>
                <w:highlight w:val="none"/>
                <w:lang w:val="en-US" w:eastAsia="zh-CN"/>
              </w:rPr>
              <w:t>年度组织地震应急综合演练次数</w:t>
            </w:r>
          </w:p>
        </w:tc>
        <w:tc>
          <w:tcPr>
            <w:tcW w:w="3112" w:type="dxa"/>
            <w:noWrap w:val="0"/>
            <w:vAlign w:val="center"/>
          </w:tcPr>
          <w:p w14:paraId="72ECC774">
            <w:pPr>
              <w:pStyle w:val="23"/>
              <w:widowControl/>
              <w:kinsoku w:val="0"/>
              <w:autoSpaceDE w:val="0"/>
              <w:autoSpaceDN w:val="0"/>
              <w:adjustRightInd w:val="0"/>
              <w:snapToGrid w:val="0"/>
              <w:spacing w:before="206" w:line="236" w:lineRule="auto"/>
              <w:jc w:val="center"/>
              <w:textAlignment w:val="baseline"/>
              <w:rPr>
                <w:rFonts w:hint="default" w:ascii="Times New Roman" w:hAnsi="Times New Roman" w:eastAsia="方正仿宋_GBK" w:cs="Times New Roman"/>
                <w:snapToGrid w:val="0"/>
                <w:color w:val="000000"/>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eastAsia" w:ascii="Times New Roman" w:hAnsi="Times New Roman" w:eastAsia="方正仿宋_GBK" w:cs="Times New Roman"/>
                <w:snapToGrid w:val="0"/>
                <w:color w:val="auto"/>
                <w:spacing w:val="-16"/>
                <w:kern w:val="0"/>
                <w:sz w:val="22"/>
                <w:szCs w:val="22"/>
                <w:highlight w:val="none"/>
                <w:lang w:val="en-US" w:eastAsia="zh-CN"/>
              </w:rPr>
              <w:t>1次</w:t>
            </w:r>
          </w:p>
        </w:tc>
      </w:tr>
      <w:tr w14:paraId="2B332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23" w:type="dxa"/>
            <w:vMerge w:val="continue"/>
            <w:tcBorders>
              <w:top w:val="nil"/>
              <w:bottom w:val="single" w:color="auto" w:sz="4" w:space="0"/>
            </w:tcBorders>
            <w:noWrap w:val="0"/>
            <w:vAlign w:val="top"/>
          </w:tcPr>
          <w:p w14:paraId="53B57A7B">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20"/>
                <w:szCs w:val="20"/>
                <w:lang w:eastAsia="en-US"/>
              </w:rPr>
            </w:pPr>
          </w:p>
        </w:tc>
        <w:tc>
          <w:tcPr>
            <w:tcW w:w="4729" w:type="dxa"/>
            <w:noWrap w:val="0"/>
            <w:vAlign w:val="center"/>
          </w:tcPr>
          <w:p w14:paraId="189A4280">
            <w:pPr>
              <w:pStyle w:val="23"/>
              <w:widowControl/>
              <w:kinsoku w:val="0"/>
              <w:autoSpaceDE w:val="0"/>
              <w:autoSpaceDN w:val="0"/>
              <w:adjustRightInd w:val="0"/>
              <w:snapToGrid w:val="0"/>
              <w:spacing w:before="205" w:line="214" w:lineRule="auto"/>
              <w:jc w:val="both"/>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eastAsia" w:ascii="Times New Roman" w:hAnsi="Times New Roman" w:eastAsia="方正仿宋_GBK" w:cs="Times New Roman"/>
                <w:snapToGrid w:val="0"/>
                <w:color w:val="auto"/>
                <w:kern w:val="0"/>
                <w:sz w:val="22"/>
                <w:szCs w:val="22"/>
                <w:highlight w:val="none"/>
                <w:lang w:val="en-US" w:eastAsia="zh-CN"/>
              </w:rPr>
              <w:t>地震应急响应技能培训</w:t>
            </w:r>
          </w:p>
        </w:tc>
        <w:tc>
          <w:tcPr>
            <w:tcW w:w="3112" w:type="dxa"/>
            <w:noWrap w:val="0"/>
            <w:vAlign w:val="center"/>
          </w:tcPr>
          <w:p w14:paraId="361CF6C2">
            <w:pPr>
              <w:pStyle w:val="23"/>
              <w:widowControl/>
              <w:kinsoku w:val="0"/>
              <w:autoSpaceDE w:val="0"/>
              <w:autoSpaceDN w:val="0"/>
              <w:adjustRightInd w:val="0"/>
              <w:snapToGrid w:val="0"/>
              <w:spacing w:before="204" w:line="236" w:lineRule="auto"/>
              <w:jc w:val="center"/>
              <w:textAlignment w:val="baseline"/>
              <w:rPr>
                <w:rFonts w:hint="default" w:ascii="Times New Roman" w:hAnsi="Times New Roman" w:eastAsia="方正仿宋_GBK" w:cs="Times New Roman"/>
                <w:snapToGrid w:val="0"/>
                <w:color w:val="auto"/>
                <w:kern w:val="0"/>
                <w:sz w:val="22"/>
                <w:szCs w:val="22"/>
                <w:highlight w:val="none"/>
                <w:lang w:val="en-US" w:eastAsia="zh-CN"/>
              </w:rPr>
            </w:pPr>
            <w:r>
              <w:rPr>
                <w:rFonts w:hint="default" w:ascii="Times New Roman" w:hAnsi="Times New Roman" w:eastAsia="方正仿宋_GBK" w:cs="Times New Roman"/>
                <w:snapToGrid w:val="0"/>
                <w:color w:val="auto"/>
                <w:spacing w:val="-16"/>
                <w:kern w:val="0"/>
                <w:sz w:val="22"/>
                <w:szCs w:val="22"/>
                <w:highlight w:val="none"/>
              </w:rPr>
              <w:t>≥</w:t>
            </w:r>
            <w:r>
              <w:rPr>
                <w:rFonts w:hint="eastAsia" w:ascii="Times New Roman" w:hAnsi="Times New Roman" w:eastAsia="方正仿宋_GBK" w:cs="Times New Roman"/>
                <w:snapToGrid w:val="0"/>
                <w:color w:val="auto"/>
                <w:spacing w:val="-16"/>
                <w:kern w:val="0"/>
                <w:sz w:val="22"/>
                <w:szCs w:val="22"/>
                <w:highlight w:val="none"/>
                <w:lang w:val="en-US" w:eastAsia="zh-CN"/>
              </w:rPr>
              <w:t>300人次</w:t>
            </w:r>
          </w:p>
        </w:tc>
      </w:tr>
    </w:tbl>
    <w:p w14:paraId="6A3DBC30">
      <w:pPr>
        <w:keepNext w:val="0"/>
        <w:keepLines w:val="0"/>
        <w:pageBreakBefore w:val="0"/>
        <w:wordWrap/>
        <w:overflowPunct/>
        <w:topLinePunct w:val="0"/>
        <w:bidi w:val="0"/>
        <w:spacing w:line="600" w:lineRule="exact"/>
        <w:ind w:firstLine="636" w:firstLineChars="200"/>
        <w:jc w:val="both"/>
        <w:outlineLvl w:val="0"/>
        <w:rPr>
          <w:rFonts w:ascii="黑体" w:hAnsi="黑体" w:eastAsia="黑体" w:cs="黑体"/>
          <w:spacing w:val="4"/>
          <w:sz w:val="31"/>
          <w:szCs w:val="31"/>
          <w:highlight w:val="none"/>
        </w:rPr>
        <w:sectPr>
          <w:footerReference r:id="rId5" w:type="default"/>
          <w:pgSz w:w="11906" w:h="16839"/>
          <w:pgMar w:top="1431" w:right="1423" w:bottom="1377" w:left="1590" w:header="0" w:footer="961" w:gutter="0"/>
          <w:pgNumType w:fmt="decimal"/>
          <w:cols w:space="720" w:num="1"/>
        </w:sectPr>
      </w:pPr>
    </w:p>
    <w:p w14:paraId="38C24BC6">
      <w:pPr>
        <w:keepNext w:val="0"/>
        <w:keepLines w:val="0"/>
        <w:pageBreakBefore w:val="0"/>
        <w:wordWrap/>
        <w:overflowPunct/>
        <w:topLinePunct w:val="0"/>
        <w:bidi w:val="0"/>
        <w:spacing w:line="600" w:lineRule="exact"/>
        <w:ind w:firstLine="636" w:firstLineChars="200"/>
        <w:jc w:val="both"/>
        <w:outlineLvl w:val="0"/>
        <w:rPr>
          <w:rFonts w:ascii="黑体" w:hAnsi="黑体" w:eastAsia="黑体" w:cs="黑体"/>
          <w:sz w:val="31"/>
          <w:szCs w:val="31"/>
          <w:highlight w:val="none"/>
        </w:rPr>
      </w:pPr>
      <w:r>
        <w:rPr>
          <w:rFonts w:ascii="黑体" w:hAnsi="黑体" w:eastAsia="黑体" w:cs="黑体"/>
          <w:spacing w:val="4"/>
          <w:sz w:val="31"/>
          <w:szCs w:val="31"/>
          <w:highlight w:val="none"/>
        </w:rPr>
        <w:t>四、主要任务</w:t>
      </w:r>
    </w:p>
    <w:p w14:paraId="69F9968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（一）提升地震监测预报预警</w:t>
      </w:r>
      <w:r>
        <w:rPr>
          <w:rFonts w:hint="eastAsia" w:ascii="Times New Roman" w:hAnsi="Times New Roman" w:eastAsia="方正楷体_GBK" w:cs="Times New Roman"/>
          <w:snapToGrid/>
          <w:color w:val="auto"/>
          <w:kern w:val="2"/>
          <w:sz w:val="32"/>
          <w:szCs w:val="32"/>
          <w:highlight w:val="none"/>
          <w:lang w:val="en-US" w:eastAsia="zh-CN"/>
        </w:rPr>
        <w:t>水平</w:t>
      </w:r>
    </w:p>
    <w:p w14:paraId="06F2FFDA">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bidi="ar-SA"/>
        </w:rPr>
      </w:pPr>
      <w:r>
        <w:rPr>
          <w:rFonts w:hint="eastAsia" w:ascii="Times New Roman" w:hAnsi="Times New Roman" w:eastAsia="方正仿宋_GBK" w:cs="Times New Roman"/>
          <w:snapToGrid/>
          <w:color w:val="auto"/>
          <w:kern w:val="2"/>
          <w:sz w:val="32"/>
          <w:szCs w:val="32"/>
          <w:highlight w:val="none"/>
          <w:lang w:val="en-US" w:eastAsia="zh-CN" w:bidi="ar-SA"/>
        </w:rPr>
        <w:t>1.</w:t>
      </w:r>
      <w:r>
        <w:rPr>
          <w:rFonts w:hint="default" w:ascii="Times New Roman" w:hAnsi="Times New Roman" w:eastAsia="方正仿宋_GBK" w:cs="Times New Roman"/>
          <w:snapToGrid/>
          <w:color w:val="auto"/>
          <w:kern w:val="2"/>
          <w:sz w:val="32"/>
          <w:szCs w:val="32"/>
          <w:highlight w:val="none"/>
          <w:lang w:val="en-US" w:eastAsia="zh-CN" w:bidi="ar-SA"/>
        </w:rPr>
        <w:t>强化站网运行保障能力建设。严格落实</w:t>
      </w:r>
      <w:r>
        <w:rPr>
          <w:rFonts w:hint="eastAsia" w:ascii="Times New Roman" w:hAnsi="Times New Roman" w:eastAsia="方正仿宋_GBK" w:cs="Times New Roman"/>
          <w:snapToGrid/>
          <w:color w:val="auto"/>
          <w:kern w:val="2"/>
          <w:sz w:val="32"/>
          <w:szCs w:val="32"/>
          <w:highlight w:val="none"/>
          <w:lang w:val="en-US" w:eastAsia="zh-CN" w:bidi="ar-SA"/>
        </w:rPr>
        <w:t>省市</w:t>
      </w:r>
      <w:r>
        <w:rPr>
          <w:rFonts w:hint="default" w:ascii="Times New Roman" w:hAnsi="Times New Roman" w:eastAsia="方正仿宋_GBK" w:cs="Times New Roman"/>
          <w:snapToGrid/>
          <w:color w:val="auto"/>
          <w:kern w:val="2"/>
          <w:sz w:val="32"/>
          <w:szCs w:val="32"/>
          <w:highlight w:val="none"/>
          <w:lang w:val="en-US" w:eastAsia="zh-CN" w:bidi="ar-SA"/>
        </w:rPr>
        <w:t>地震监测站网规划，实施站网升级换代与智能化提升工程，优化资源配置与布局，全面提升地震监测标准化、智能化水平。</w:t>
      </w:r>
      <w:r>
        <w:rPr>
          <w:rFonts w:hint="default" w:ascii="Times New Roman" w:hAnsi="Times New Roman" w:eastAsia="方正仿宋_GBK" w:cs="Times New Roman"/>
          <w:sz w:val="32"/>
          <w:szCs w:val="32"/>
          <w:highlight w:val="none"/>
          <w:lang w:val="en-US" w:eastAsia="zh-CN"/>
        </w:rPr>
        <w:t>积极配合省</w:t>
      </w:r>
      <w:r>
        <w:rPr>
          <w:rFonts w:hint="eastAsia" w:ascii="Times New Roman" w:hAnsi="Times New Roman" w:eastAsia="方正仿宋_GBK" w:cs="Times New Roman"/>
          <w:sz w:val="32"/>
          <w:szCs w:val="32"/>
          <w:highlight w:val="none"/>
          <w:lang w:val="en-US" w:eastAsia="zh-CN"/>
        </w:rPr>
        <w:t>地震</w:t>
      </w:r>
      <w:r>
        <w:rPr>
          <w:rFonts w:hint="default" w:ascii="Times New Roman" w:hAnsi="Times New Roman" w:eastAsia="方正仿宋_GBK" w:cs="Times New Roman"/>
          <w:sz w:val="32"/>
          <w:szCs w:val="32"/>
          <w:highlight w:val="none"/>
          <w:lang w:val="en-US" w:eastAsia="zh-CN"/>
        </w:rPr>
        <w:t>局推进“量子+地震”等技术场景在宿州的落地应用，加快量子地震观测台网建设。</w:t>
      </w:r>
      <w:r>
        <w:rPr>
          <w:rFonts w:hint="default" w:ascii="Times New Roman" w:hAnsi="Times New Roman" w:eastAsia="方正仿宋_GBK" w:cs="Times New Roman"/>
          <w:snapToGrid/>
          <w:color w:val="auto"/>
          <w:kern w:val="2"/>
          <w:sz w:val="32"/>
          <w:szCs w:val="32"/>
          <w:highlight w:val="none"/>
          <w:lang w:val="en-US" w:eastAsia="zh-CN" w:bidi="ar-SA"/>
        </w:rPr>
        <w:t>加强地震监测环境及设施保护，改善台网运行条件，同步推进站网建设标准化与规范化管理。在泗县、灵璧</w:t>
      </w:r>
      <w:r>
        <w:rPr>
          <w:rFonts w:hint="eastAsia" w:ascii="Times New Roman" w:hAnsi="Times New Roman" w:eastAsia="方正仿宋_GBK" w:cs="Times New Roman"/>
          <w:snapToGrid/>
          <w:color w:val="auto"/>
          <w:kern w:val="2"/>
          <w:sz w:val="32"/>
          <w:szCs w:val="32"/>
          <w:highlight w:val="none"/>
          <w:lang w:val="en-US" w:eastAsia="zh-CN" w:bidi="ar-SA"/>
        </w:rPr>
        <w:t>县</w:t>
      </w:r>
      <w:r>
        <w:rPr>
          <w:rFonts w:hint="default" w:ascii="Times New Roman" w:hAnsi="Times New Roman" w:eastAsia="方正仿宋_GBK" w:cs="Times New Roman"/>
          <w:snapToGrid/>
          <w:color w:val="auto"/>
          <w:kern w:val="2"/>
          <w:sz w:val="32"/>
          <w:szCs w:val="32"/>
          <w:highlight w:val="none"/>
          <w:lang w:val="en-US" w:eastAsia="zh-CN" w:bidi="ar-SA"/>
        </w:rPr>
        <w:t>等</w:t>
      </w:r>
      <w:r>
        <w:rPr>
          <w:rFonts w:hint="eastAsia" w:ascii="Times New Roman" w:hAnsi="Times New Roman" w:eastAsia="方正仿宋_GBK" w:cs="Times New Roman"/>
          <w:snapToGrid/>
          <w:color w:val="auto"/>
          <w:kern w:val="2"/>
          <w:sz w:val="32"/>
          <w:szCs w:val="32"/>
          <w:highlight w:val="none"/>
          <w:lang w:val="en-US" w:eastAsia="zh-CN" w:bidi="ar-SA"/>
        </w:rPr>
        <w:t>高烈度地区</w:t>
      </w:r>
      <w:r>
        <w:rPr>
          <w:rFonts w:hint="default" w:ascii="Times New Roman" w:hAnsi="Times New Roman" w:eastAsia="方正仿宋_GBK" w:cs="Times New Roman"/>
          <w:snapToGrid/>
          <w:color w:val="auto"/>
          <w:kern w:val="2"/>
          <w:sz w:val="32"/>
          <w:szCs w:val="32"/>
          <w:highlight w:val="none"/>
          <w:lang w:val="en-US" w:eastAsia="zh-CN" w:bidi="ar-SA"/>
        </w:rPr>
        <w:t>，协同省地震局开展高精度</w:t>
      </w:r>
      <w:r>
        <w:rPr>
          <w:rFonts w:hint="eastAsia" w:ascii="Times New Roman" w:hAnsi="Times New Roman" w:eastAsia="方正仿宋_GBK" w:cs="Times New Roman"/>
          <w:snapToGrid/>
          <w:color w:val="auto"/>
          <w:kern w:val="2"/>
          <w:sz w:val="32"/>
          <w:szCs w:val="32"/>
          <w:highlight w:val="none"/>
          <w:lang w:val="en-US" w:eastAsia="zh-CN" w:bidi="ar-SA"/>
        </w:rPr>
        <w:t>、</w:t>
      </w:r>
      <w:r>
        <w:rPr>
          <w:rFonts w:hint="default" w:ascii="Times New Roman" w:hAnsi="Times New Roman" w:eastAsia="方正仿宋_GBK" w:cs="Times New Roman"/>
          <w:snapToGrid/>
          <w:color w:val="auto"/>
          <w:kern w:val="2"/>
          <w:sz w:val="32"/>
          <w:szCs w:val="32"/>
          <w:highlight w:val="none"/>
          <w:lang w:val="en-US" w:eastAsia="zh-CN" w:bidi="ar-SA"/>
        </w:rPr>
        <w:t>多分量地球物理观测，深化地震观测新技术新方法应用。</w:t>
      </w:r>
    </w:p>
    <w:p w14:paraId="3C7122DC">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2.</w:t>
      </w:r>
      <w:r>
        <w:rPr>
          <w:rFonts w:hint="default" w:ascii="Times New Roman" w:hAnsi="Times New Roman" w:eastAsia="方正仿宋_GBK" w:cs="Times New Roman"/>
          <w:snapToGrid/>
          <w:color w:val="auto"/>
          <w:kern w:val="2"/>
          <w:sz w:val="32"/>
          <w:szCs w:val="32"/>
          <w:highlight w:val="none"/>
          <w:lang w:val="en-US" w:eastAsia="zh-CN"/>
        </w:rPr>
        <w:t>推进监测预警服务体系建设。</w:t>
      </w:r>
      <w:r>
        <w:rPr>
          <w:rFonts w:hint="eastAsia" w:ascii="Times New Roman" w:hAnsi="Times New Roman" w:eastAsia="方正仿宋_GBK" w:cs="Times New Roman"/>
          <w:snapToGrid/>
          <w:color w:val="auto"/>
          <w:kern w:val="2"/>
          <w:sz w:val="32"/>
          <w:szCs w:val="32"/>
          <w:highlight w:val="none"/>
          <w:lang w:val="en-US" w:eastAsia="zh-CN"/>
        </w:rPr>
        <w:t>拓展预警信息发布渠道</w:t>
      </w:r>
      <w:r>
        <w:rPr>
          <w:rFonts w:hint="default" w:ascii="Times New Roman" w:hAnsi="Times New Roman" w:eastAsia="方正仿宋_GBK" w:cs="Times New Roman"/>
          <w:snapToGrid/>
          <w:color w:val="auto"/>
          <w:kern w:val="2"/>
          <w:sz w:val="32"/>
          <w:szCs w:val="32"/>
          <w:highlight w:val="none"/>
          <w:lang w:val="en-US" w:eastAsia="zh-CN"/>
        </w:rPr>
        <w:t>，提升地震预警信息的秒级推送能力</w:t>
      </w:r>
      <w:r>
        <w:rPr>
          <w:rFonts w:hint="eastAsia" w:ascii="Times New Roman" w:hAnsi="Times New Roman" w:eastAsia="方正仿宋_GBK" w:cs="Times New Roman"/>
          <w:snapToGrid/>
          <w:color w:val="auto"/>
          <w:kern w:val="2"/>
          <w:sz w:val="32"/>
          <w:szCs w:val="32"/>
          <w:highlight w:val="none"/>
          <w:lang w:val="en-US" w:eastAsia="zh-CN"/>
        </w:rPr>
        <w:t>。加大学校、医院、大型矿山、交通枢纽、文物保护单位等重点场所地震预警终端布设力度，推动预警技术在生命线工程、市政设施中应用，逐步实现重点单位及场所预警全覆盖。强化部门协同与地震预警发布管理，拓展应急广播、电视、手机等预警信息发布渠道，统一信息发布口径，及时回应社会关切。强化对爆破、滑坡等非天然地震的监测识别，完善预警机制，确保及时发现、精准预警。</w:t>
      </w:r>
    </w:p>
    <w:p w14:paraId="176CC6B6">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（二）提升地震灾害风险防治能力</w:t>
      </w:r>
    </w:p>
    <w:p w14:paraId="144C9321">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1.深入推进探查区划评估。</w:t>
      </w:r>
      <w:r>
        <w:rPr>
          <w:rFonts w:hint="default" w:ascii="Times New Roman" w:hAnsi="Times New Roman" w:eastAsia="方正仿宋_GBK" w:cs="Times New Roman"/>
          <w:snapToGrid/>
          <w:color w:val="auto"/>
          <w:kern w:val="2"/>
          <w:sz w:val="32"/>
          <w:szCs w:val="32"/>
          <w:highlight w:val="none"/>
          <w:lang w:val="en-US" w:eastAsia="zh-CN"/>
        </w:rPr>
        <w:t>推进</w:t>
      </w:r>
      <w:r>
        <w:rPr>
          <w:rFonts w:hint="eastAsia" w:ascii="Times New Roman" w:hAnsi="Times New Roman" w:eastAsia="方正仿宋_GBK" w:cs="Times New Roman"/>
          <w:snapToGrid/>
          <w:color w:val="auto"/>
          <w:kern w:val="2"/>
          <w:sz w:val="32"/>
          <w:szCs w:val="32"/>
          <w:highlight w:val="none"/>
          <w:lang w:val="en-US" w:eastAsia="zh-CN"/>
        </w:rPr>
        <w:t>县域</w:t>
      </w:r>
      <w:r>
        <w:rPr>
          <w:rFonts w:hint="default" w:ascii="Times New Roman" w:hAnsi="Times New Roman" w:eastAsia="方正仿宋_GBK" w:cs="Times New Roman"/>
          <w:snapToGrid/>
          <w:color w:val="auto"/>
          <w:kern w:val="2"/>
          <w:sz w:val="32"/>
          <w:szCs w:val="32"/>
          <w:highlight w:val="none"/>
          <w:lang w:val="en-US" w:eastAsia="zh-CN"/>
        </w:rPr>
        <w:t>地震构造环境探查，在郯庐断裂带沿线等重点区域开展地震活动性鉴定和精细探查，查明全市重点区域、重要断裂带的震源分布和发震构造；加快推进全市地震灾害损失预评估工作，为地方政府做好地震灾害风险防治和应对准备提供强有力的支撑和服务。做好城市活断层探测、地震灾害风险普查等防震减灾项目成果转化运用，为国土空间规划和重大工程选址提供依据。</w:t>
      </w:r>
    </w:p>
    <w:p w14:paraId="4CC061FB">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2.构建地震风险感知和抗震设防监督体系。</w:t>
      </w:r>
      <w:r>
        <w:rPr>
          <w:rFonts w:hint="default" w:ascii="Times New Roman" w:hAnsi="Times New Roman" w:eastAsia="方正仿宋_GBK" w:cs="Times New Roman"/>
          <w:color w:val="auto"/>
          <w:sz w:val="32"/>
          <w:szCs w:val="32"/>
          <w:highlight w:val="none"/>
        </w:rPr>
        <w:t>开展地震灾害风险动态监测与评估，</w:t>
      </w:r>
      <w:r>
        <w:rPr>
          <w:rFonts w:hint="default" w:ascii="Times New Roman" w:hAnsi="Times New Roman" w:eastAsia="方正仿宋_GBK" w:cs="Times New Roman"/>
          <w:snapToGrid/>
          <w:color w:val="auto"/>
          <w:kern w:val="2"/>
          <w:sz w:val="32"/>
          <w:szCs w:val="32"/>
          <w:highlight w:val="none"/>
          <w:lang w:val="en-US" w:eastAsia="zh-CN"/>
        </w:rPr>
        <w:t>全面提升市级地震灾害风险感知能力。加强建设工程抗震设防要求管理，强化学校、医院等人员密集场所的抗震设防，确保重大工程“应评尽评”。进一步提升城乡抗震韧性，推动城乡老旧房屋抗震加固，并开展预制板房、医院病房、交通、水利设施等地震灾害隐患排查治理</w:t>
      </w:r>
      <w:r>
        <w:rPr>
          <w:rFonts w:hint="eastAsia" w:ascii="Times New Roman" w:hAnsi="Times New Roman" w:eastAsia="方正仿宋_GBK" w:cs="Times New Roman"/>
          <w:snapToGrid/>
          <w:color w:val="auto"/>
          <w:kern w:val="2"/>
          <w:sz w:val="32"/>
          <w:szCs w:val="32"/>
          <w:highlight w:val="none"/>
          <w:lang w:val="en-US" w:eastAsia="zh-CN"/>
        </w:rPr>
        <w:t>。</w:t>
      </w:r>
    </w:p>
    <w:p w14:paraId="610E726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FF0000"/>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（三）提升公众防震减灾科学素养</w:t>
      </w:r>
    </w:p>
    <w:p w14:paraId="319C6F02">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1.深化</w:t>
      </w:r>
      <w:r>
        <w:rPr>
          <w:rFonts w:hint="eastAsia" w:ascii="Times New Roman" w:hAnsi="Times New Roman" w:eastAsia="方正仿宋_GBK" w:cs="Times New Roman"/>
          <w:b/>
          <w:bCs/>
          <w:snapToGrid/>
          <w:color w:val="auto"/>
          <w:kern w:val="2"/>
          <w:sz w:val="32"/>
          <w:szCs w:val="32"/>
          <w:highlight w:val="none"/>
          <w:lang w:val="en-US" w:eastAsia="zh-CN"/>
        </w:rPr>
        <w:t>防震减灾科普能力。</w:t>
      </w:r>
      <w:r>
        <w:rPr>
          <w:rFonts w:hint="default" w:ascii="Times New Roman" w:hAnsi="Times New Roman" w:eastAsia="方正仿宋_GBK" w:cs="Times New Roman"/>
          <w:b w:val="0"/>
          <w:bCs w:val="0"/>
          <w:snapToGrid/>
          <w:color w:val="auto"/>
          <w:kern w:val="2"/>
          <w:sz w:val="32"/>
          <w:szCs w:val="32"/>
          <w:highlight w:val="none"/>
          <w:lang w:val="en-US" w:eastAsia="zh-CN"/>
        </w:rPr>
        <w:t>聚焦重点人群，</w:t>
      </w:r>
      <w:r>
        <w:rPr>
          <w:rFonts w:hint="eastAsia" w:ascii="Times New Roman" w:hAnsi="Times New Roman" w:eastAsia="方正仿宋_GBK" w:cs="Times New Roman"/>
          <w:b w:val="0"/>
          <w:bCs w:val="0"/>
          <w:snapToGrid/>
          <w:color w:val="auto"/>
          <w:kern w:val="2"/>
          <w:sz w:val="32"/>
          <w:szCs w:val="32"/>
          <w:highlight w:val="none"/>
          <w:lang w:val="en-US" w:eastAsia="zh-CN"/>
        </w:rPr>
        <w:t>将防震减灾知识纳入中小学校、各级党校（行政学院）培训内容；</w:t>
      </w:r>
      <w:r>
        <w:rPr>
          <w:rFonts w:hint="default" w:ascii="Times New Roman" w:hAnsi="Times New Roman" w:eastAsia="方正仿宋_GBK" w:cs="Times New Roman"/>
          <w:snapToGrid/>
          <w:color w:val="auto"/>
          <w:kern w:val="2"/>
          <w:sz w:val="32"/>
          <w:szCs w:val="32"/>
          <w:highlight w:val="none"/>
          <w:lang w:val="en-US" w:eastAsia="zh-CN"/>
        </w:rPr>
        <w:t>持续推进</w:t>
      </w:r>
      <w:r>
        <w:rPr>
          <w:rFonts w:hint="eastAsia" w:ascii="Times New Roman" w:hAnsi="Times New Roman" w:eastAsia="方正仿宋_GBK" w:cs="Times New Roman"/>
          <w:snapToGrid/>
          <w:color w:val="auto"/>
          <w:kern w:val="2"/>
          <w:sz w:val="32"/>
          <w:szCs w:val="32"/>
          <w:highlight w:val="none"/>
          <w:lang w:val="en-US" w:eastAsia="zh-CN"/>
        </w:rPr>
        <w:t>防震减灾</w:t>
      </w:r>
      <w:r>
        <w:rPr>
          <w:rFonts w:hint="default" w:ascii="Times New Roman" w:hAnsi="Times New Roman" w:eastAsia="方正仿宋_GBK" w:cs="Times New Roman"/>
          <w:snapToGrid/>
          <w:color w:val="auto"/>
          <w:kern w:val="2"/>
          <w:sz w:val="32"/>
          <w:szCs w:val="32"/>
          <w:highlight w:val="none"/>
          <w:lang w:val="en-US" w:eastAsia="zh-CN"/>
        </w:rPr>
        <w:t>科普“六进”，积极开展</w:t>
      </w:r>
      <w:r>
        <w:rPr>
          <w:rFonts w:hint="eastAsia" w:ascii="Times New Roman" w:hAnsi="Times New Roman" w:eastAsia="方正仿宋_GBK" w:cs="Times New Roman"/>
          <w:snapToGrid/>
          <w:color w:val="auto"/>
          <w:kern w:val="2"/>
          <w:sz w:val="32"/>
          <w:szCs w:val="32"/>
          <w:highlight w:val="none"/>
          <w:lang w:val="en-US" w:eastAsia="zh-CN"/>
        </w:rPr>
        <w:t>宿州科普品牌赛事</w:t>
      </w:r>
      <w:r>
        <w:rPr>
          <w:rFonts w:hint="default" w:ascii="Times New Roman" w:hAnsi="Times New Roman" w:eastAsia="方正仿宋_GBK" w:cs="Times New Roman"/>
          <w:snapToGrid/>
          <w:color w:val="auto"/>
          <w:kern w:val="2"/>
          <w:sz w:val="32"/>
          <w:szCs w:val="32"/>
          <w:highlight w:val="none"/>
          <w:lang w:val="en-US" w:eastAsia="zh-CN"/>
        </w:rPr>
        <w:t>活动，</w:t>
      </w:r>
      <w:r>
        <w:rPr>
          <w:rFonts w:hint="eastAsia" w:ascii="Times New Roman" w:hAnsi="Times New Roman" w:eastAsia="方正仿宋_GBK" w:cs="Times New Roman"/>
          <w:snapToGrid/>
          <w:color w:val="auto"/>
          <w:kern w:val="2"/>
          <w:sz w:val="32"/>
          <w:szCs w:val="32"/>
          <w:highlight w:val="none"/>
          <w:lang w:val="en-US" w:eastAsia="zh-CN"/>
        </w:rPr>
        <w:t>结合重点时段</w:t>
      </w:r>
      <w:r>
        <w:rPr>
          <w:rFonts w:hint="default" w:ascii="Times New Roman" w:hAnsi="Times New Roman" w:eastAsia="方正仿宋_GBK" w:cs="Times New Roman"/>
          <w:snapToGrid/>
          <w:color w:val="auto"/>
          <w:kern w:val="2"/>
          <w:sz w:val="32"/>
          <w:szCs w:val="32"/>
          <w:highlight w:val="none"/>
          <w:lang w:val="en-US" w:eastAsia="zh-CN"/>
        </w:rPr>
        <w:t>实施“互联网+防震减灾科普”，提升宣传覆盖面；提升防震减灾科普产品体系化研究和产出能力，建设防震减灾科普资源库，推动开放式防灾科普产品创作。</w:t>
      </w:r>
    </w:p>
    <w:p w14:paraId="6165D86D">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b/>
          <w:bCs/>
          <w:snapToGrid/>
          <w:color w:val="auto"/>
          <w:kern w:val="2"/>
          <w:sz w:val="32"/>
          <w:szCs w:val="32"/>
          <w:highlight w:val="none"/>
          <w:lang w:val="en-US" w:eastAsia="zh-CN"/>
        </w:rPr>
        <w:t>2.强化科普阵地建设。</w:t>
      </w:r>
      <w:r>
        <w:rPr>
          <w:rFonts w:hint="default" w:ascii="Times New Roman" w:hAnsi="Times New Roman" w:eastAsia="方正仿宋_GBK" w:cs="Times New Roman"/>
          <w:snapToGrid/>
          <w:color w:val="auto"/>
          <w:kern w:val="2"/>
          <w:sz w:val="32"/>
          <w:szCs w:val="32"/>
          <w:highlight w:val="none"/>
          <w:lang w:val="en-US" w:eastAsia="zh-CN"/>
        </w:rPr>
        <w:t>加强地震科普基础设施建设和场馆升级改造，高标准建设宿州市地震科普馆，打造皖北地区具有示范引领作用的防震减灾科普教育新阵地；推进防震减灾科普知识纳入各级各类科技、科普场所（馆），全面发挥地震科普阵地效能，</w:t>
      </w:r>
      <w:r>
        <w:rPr>
          <w:rFonts w:hint="default" w:ascii="Times New Roman" w:hAnsi="Times New Roman" w:eastAsia="方正仿宋_GBK" w:cs="Times New Roman"/>
          <w:snapToGrid/>
          <w:color w:val="auto"/>
          <w:kern w:val="2"/>
          <w:sz w:val="32"/>
          <w:szCs w:val="32"/>
          <w:lang w:val="en-US" w:eastAsia="zh-CN" w:bidi="ar-SA"/>
        </w:rPr>
        <w:t>不断提高防震减灾科普服务水平。</w:t>
      </w:r>
    </w:p>
    <w:p w14:paraId="1382980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（四）加强地震科技创新和人才队伍建设</w:t>
      </w:r>
    </w:p>
    <w:p w14:paraId="6CD48A4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napToGrid/>
          <w:color w:val="auto"/>
          <w:kern w:val="2"/>
          <w:sz w:val="32"/>
          <w:szCs w:val="32"/>
          <w:lang w:val="en-US" w:eastAsia="zh-CN" w:bidi="ar-SA"/>
        </w:rPr>
      </w:pPr>
      <w:r>
        <w:rPr>
          <w:rFonts w:hint="eastAsia" w:ascii="Times New Roman" w:hAnsi="Times New Roman" w:eastAsia="方正仿宋_GBK" w:cs="Times New Roman"/>
          <w:b/>
          <w:bCs/>
          <w:snapToGrid/>
          <w:color w:val="auto"/>
          <w:kern w:val="2"/>
          <w:sz w:val="32"/>
          <w:szCs w:val="32"/>
          <w:highlight w:val="none"/>
          <w:lang w:val="en-US" w:eastAsia="zh-CN"/>
        </w:rPr>
        <w:t>1.</w:t>
      </w:r>
      <w:r>
        <w:rPr>
          <w:rFonts w:hint="default" w:ascii="Times New Roman" w:hAnsi="Times New Roman" w:eastAsia="方正仿宋_GBK" w:cs="Times New Roman"/>
          <w:b/>
          <w:bCs/>
          <w:snapToGrid/>
          <w:color w:val="auto"/>
          <w:kern w:val="2"/>
          <w:sz w:val="32"/>
          <w:szCs w:val="32"/>
          <w:highlight w:val="none"/>
          <w:lang w:val="en-US" w:eastAsia="zh-CN"/>
        </w:rPr>
        <w:t>加快建设地震科技创新平台。</w:t>
      </w:r>
      <w:r>
        <w:rPr>
          <w:rFonts w:hint="default" w:ascii="Times New Roman" w:hAnsi="Times New Roman" w:eastAsia="方正仿宋_GBK" w:cs="Times New Roman"/>
          <w:snapToGrid/>
          <w:color w:val="auto"/>
          <w:kern w:val="2"/>
          <w:sz w:val="32"/>
          <w:szCs w:val="32"/>
          <w:lang w:val="en-US" w:eastAsia="zh-CN" w:bidi="ar-SA"/>
        </w:rPr>
        <w:t>构建“政企校地”协同创新机制，推动合作向全要素、深层次拓展，重点聚焦地震监测预报预警技术攻关、郯庐断裂带地质构造特征解析、区域孕震规律研究等关键领域，为全市地震灾害风险防治能力提升提供</w:t>
      </w:r>
      <w:r>
        <w:rPr>
          <w:rFonts w:hint="default" w:ascii="Times New Roman" w:hAnsi="Times New Roman" w:eastAsia="方正仿宋_GBK" w:cs="Times New Roman"/>
          <w:snapToGrid/>
          <w:color w:val="auto"/>
          <w:kern w:val="2"/>
          <w:sz w:val="32"/>
          <w:szCs w:val="32"/>
          <w:highlight w:val="none"/>
          <w:lang w:val="en-US" w:eastAsia="zh-CN" w:bidi="ar-SA"/>
        </w:rPr>
        <w:t>坚实科技支撑与智力保障。</w:t>
      </w:r>
      <w:r>
        <w:rPr>
          <w:rFonts w:hint="eastAsia" w:ascii="Times New Roman" w:hAnsi="Times New Roman" w:eastAsia="方正仿宋_GBK" w:cs="Times New Roman"/>
          <w:snapToGrid/>
          <w:color w:val="auto"/>
          <w:kern w:val="2"/>
          <w:sz w:val="32"/>
          <w:szCs w:val="32"/>
          <w:highlight w:val="none"/>
          <w:lang w:val="en-US" w:eastAsia="zh-CN" w:bidi="ar-SA"/>
        </w:rPr>
        <w:t>健全</w:t>
      </w:r>
      <w:r>
        <w:rPr>
          <w:rFonts w:hint="default" w:ascii="Times New Roman" w:hAnsi="Times New Roman" w:eastAsia="方正仿宋_GBK" w:cs="Times New Roman"/>
          <w:snapToGrid/>
          <w:color w:val="auto"/>
          <w:kern w:val="2"/>
          <w:sz w:val="32"/>
          <w:szCs w:val="32"/>
          <w:highlight w:val="none"/>
          <w:lang w:val="en-US" w:eastAsia="zh-CN" w:bidi="ar-SA"/>
        </w:rPr>
        <w:t>郯庐断裂带区域</w:t>
      </w:r>
      <w:r>
        <w:rPr>
          <w:rFonts w:hint="eastAsia" w:ascii="Times New Roman" w:hAnsi="Times New Roman" w:eastAsia="方正仿宋_GBK" w:cs="Times New Roman"/>
          <w:snapToGrid/>
          <w:color w:val="auto"/>
          <w:kern w:val="2"/>
          <w:sz w:val="32"/>
          <w:szCs w:val="32"/>
          <w:highlight w:val="none"/>
          <w:lang w:val="en-US" w:eastAsia="zh-CN" w:bidi="ar-SA"/>
        </w:rPr>
        <w:t>联防联动机制</w:t>
      </w:r>
      <w:r>
        <w:rPr>
          <w:rFonts w:hint="default" w:ascii="Times New Roman" w:hAnsi="Times New Roman" w:eastAsia="方正仿宋_GBK" w:cs="Times New Roman"/>
          <w:snapToGrid/>
          <w:color w:val="auto"/>
          <w:kern w:val="2"/>
          <w:sz w:val="32"/>
          <w:szCs w:val="32"/>
          <w:highlight w:val="none"/>
          <w:lang w:val="en-US" w:eastAsia="zh-CN" w:bidi="ar-SA"/>
        </w:rPr>
        <w:t>，强化跨区域数据共享与联合攻关。精准对接中国地震局、安徽省地震局科研项目申报，系统凝练符合宿州需求的科研选题，</w:t>
      </w:r>
      <w:r>
        <w:rPr>
          <w:rFonts w:hint="default" w:ascii="Times New Roman" w:hAnsi="Times New Roman" w:eastAsia="方正仿宋_GBK" w:cs="Times New Roman"/>
          <w:snapToGrid/>
          <w:color w:val="auto"/>
          <w:kern w:val="2"/>
          <w:sz w:val="32"/>
          <w:szCs w:val="32"/>
          <w:lang w:val="en-US" w:eastAsia="zh-CN" w:bidi="ar-SA"/>
        </w:rPr>
        <w:t>确保研究成果与地方防震减灾实际需求深度融合，全面提升科技创新对防震减灾事业的引领驱动效能。</w:t>
      </w:r>
    </w:p>
    <w:p w14:paraId="5210FFFF">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rPr>
        <w:t>2.推进科技创新与人才建设。</w:t>
      </w:r>
      <w:r>
        <w:rPr>
          <w:rFonts w:hint="default" w:ascii="Times New Roman" w:hAnsi="Times New Roman" w:eastAsia="方正仿宋_GBK" w:cs="Times New Roman"/>
          <w:snapToGrid/>
          <w:color w:val="auto"/>
          <w:kern w:val="2"/>
          <w:sz w:val="32"/>
          <w:szCs w:val="32"/>
          <w:lang w:val="en-US" w:eastAsia="zh-CN" w:bidi="ar-SA"/>
        </w:rPr>
        <w:t>推进科技创新与人才强基协同发展</w:t>
      </w:r>
      <w:r>
        <w:rPr>
          <w:rFonts w:hint="eastAsia" w:ascii="Times New Roman" w:hAnsi="Times New Roman" w:eastAsia="方正仿宋_GBK" w:cs="Times New Roman"/>
          <w:snapToGrid/>
          <w:color w:val="auto"/>
          <w:kern w:val="2"/>
          <w:sz w:val="32"/>
          <w:szCs w:val="32"/>
          <w:lang w:val="en-US" w:eastAsia="zh-CN" w:bidi="ar-SA"/>
        </w:rPr>
        <w:t>，</w:t>
      </w:r>
      <w:r>
        <w:rPr>
          <w:rFonts w:hint="default" w:ascii="Times New Roman" w:hAnsi="Times New Roman" w:eastAsia="方正仿宋_GBK" w:cs="Times New Roman"/>
          <w:snapToGrid/>
          <w:color w:val="auto"/>
          <w:kern w:val="2"/>
          <w:sz w:val="32"/>
          <w:szCs w:val="32"/>
          <w:lang w:val="en-US" w:eastAsia="zh-CN" w:bidi="ar-SA"/>
        </w:rPr>
        <w:t>开展地震预警与烈度速报、地震灾害快速评估与应急响应、地震数据可视化、地震科普应急产出等科技攻关，支撑地震应急响应服务。推进国家、省地震科技成果和项目在我市的转化和推广应用，促进地震科技与防震减灾业务深度融合。聚焦人才队伍提质增效，持续引进高层次专业人才，常态化开展学术交流、技术培训、跟岗研修等活动，提升人才</w:t>
      </w:r>
      <w:r>
        <w:rPr>
          <w:rFonts w:hint="eastAsia" w:ascii="Times New Roman" w:hAnsi="Times New Roman" w:eastAsia="方正仿宋_GBK" w:cs="Times New Roman"/>
          <w:snapToGrid/>
          <w:color w:val="auto"/>
          <w:kern w:val="2"/>
          <w:sz w:val="32"/>
          <w:szCs w:val="32"/>
          <w:lang w:val="en-US" w:eastAsia="zh-CN" w:bidi="ar-SA"/>
        </w:rPr>
        <w:t>队伍</w:t>
      </w:r>
      <w:r>
        <w:rPr>
          <w:rFonts w:hint="default" w:ascii="Times New Roman" w:hAnsi="Times New Roman" w:eastAsia="方正仿宋_GBK" w:cs="Times New Roman"/>
          <w:snapToGrid/>
          <w:color w:val="auto"/>
          <w:kern w:val="2"/>
          <w:sz w:val="32"/>
          <w:szCs w:val="32"/>
          <w:lang w:val="en-US" w:eastAsia="zh-CN" w:bidi="ar-SA"/>
        </w:rPr>
        <w:t>专业能力；建立“资深专家</w:t>
      </w:r>
      <w:r>
        <w:rPr>
          <w:rFonts w:hint="eastAsia" w:ascii="Times New Roman" w:hAnsi="Times New Roman" w:eastAsia="方正仿宋_GBK" w:cs="Times New Roman"/>
          <w:snapToGrid/>
          <w:color w:val="auto"/>
          <w:kern w:val="2"/>
          <w:sz w:val="32"/>
          <w:szCs w:val="32"/>
          <w:lang w:val="en-US" w:eastAsia="zh-CN" w:bidi="ar-SA"/>
        </w:rPr>
        <w:t>+</w:t>
      </w:r>
      <w:r>
        <w:rPr>
          <w:rFonts w:hint="default" w:ascii="Times New Roman" w:hAnsi="Times New Roman" w:eastAsia="方正仿宋_GBK" w:cs="Times New Roman"/>
          <w:snapToGrid/>
          <w:color w:val="auto"/>
          <w:kern w:val="2"/>
          <w:sz w:val="32"/>
          <w:szCs w:val="32"/>
          <w:lang w:val="en-US" w:eastAsia="zh-CN" w:bidi="ar-SA"/>
        </w:rPr>
        <w:t>青年骨干”传帮带机制，强化经验传承与能力</w:t>
      </w:r>
      <w:r>
        <w:rPr>
          <w:rFonts w:hint="eastAsia" w:ascii="Times New Roman" w:hAnsi="Times New Roman" w:eastAsia="方正仿宋_GBK" w:cs="Times New Roman"/>
          <w:snapToGrid/>
          <w:color w:val="auto"/>
          <w:kern w:val="2"/>
          <w:sz w:val="32"/>
          <w:szCs w:val="32"/>
          <w:lang w:val="en-US" w:eastAsia="zh-CN" w:bidi="ar-SA"/>
        </w:rPr>
        <w:t>培育</w:t>
      </w:r>
      <w:r>
        <w:rPr>
          <w:rFonts w:hint="default" w:ascii="Times New Roman" w:hAnsi="Times New Roman" w:eastAsia="方正仿宋_GBK" w:cs="Times New Roman"/>
          <w:snapToGrid/>
          <w:color w:val="auto"/>
          <w:kern w:val="2"/>
          <w:sz w:val="32"/>
          <w:szCs w:val="32"/>
          <w:lang w:val="en-US" w:eastAsia="zh-CN" w:bidi="ar-SA"/>
        </w:rPr>
        <w:t>，全面锻造一支结构合理、专业精湛、创新力强的防震减灾人才队伍。</w:t>
      </w:r>
    </w:p>
    <w:p w14:paraId="1814C86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（五）健全地震信息服务业务体系</w:t>
      </w:r>
    </w:p>
    <w:p w14:paraId="15D4E837">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rPr>
        <w:t>1.强化信息服务基础能力建设。</w:t>
      </w:r>
      <w:r>
        <w:rPr>
          <w:rFonts w:hint="default" w:ascii="Times New Roman" w:hAnsi="Times New Roman" w:eastAsia="方正仿宋_GBK" w:cs="Times New Roman"/>
          <w:snapToGrid/>
          <w:color w:val="auto"/>
          <w:kern w:val="2"/>
          <w:sz w:val="32"/>
          <w:szCs w:val="32"/>
          <w:lang w:val="en-US" w:eastAsia="zh-CN" w:bidi="ar-SA"/>
        </w:rPr>
        <w:t>依托宿州市地震“两中心”现有信息化基础设施资源，实施地震监测台站网络系统性升级改造，切实提升地震监测预警网络运行的可靠性。推动指挥中心高效响应运行，持续优化决策辅助系统，提升其精准性与科学性。整合地震监测、预报预警、风险防治及应急响应等多源数据资源，实现全链条地震数据资源集约化管理与智能化应用，全面提升全市地震系统监测预警、应急处置与综合保障的整体效能。</w:t>
      </w:r>
    </w:p>
    <w:p w14:paraId="4E26AAB4">
      <w:pPr>
        <w:keepNext w:val="0"/>
        <w:keepLines w:val="0"/>
        <w:pageBreakBefore w:val="0"/>
        <w:wordWrap/>
        <w:overflowPunct/>
        <w:topLinePunct w:val="0"/>
        <w:bidi w:val="0"/>
        <w:spacing w:line="600" w:lineRule="exact"/>
        <w:ind w:left="24" w:right="275" w:firstLine="648"/>
        <w:jc w:val="both"/>
        <w:outlineLvl w:val="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rPr>
        <w:t>2.深化数据赋能与智慧服务场景应用。</w:t>
      </w:r>
      <w:r>
        <w:rPr>
          <w:rFonts w:hint="default" w:ascii="Times New Roman" w:hAnsi="Times New Roman" w:eastAsia="方正仿宋_GBK" w:cs="Times New Roman"/>
          <w:b w:val="0"/>
          <w:bCs w:val="0"/>
          <w:snapToGrid/>
          <w:color w:val="auto"/>
          <w:kern w:val="2"/>
          <w:sz w:val="32"/>
          <w:szCs w:val="32"/>
          <w:highlight w:val="none"/>
          <w:lang w:val="en-US" w:eastAsia="zh-CN"/>
        </w:rPr>
        <w:t>坚持数据驱动、协同联动，深化与住建、自然资源</w:t>
      </w:r>
      <w:r>
        <w:rPr>
          <w:rFonts w:hint="eastAsia" w:ascii="Times New Roman" w:hAnsi="Times New Roman" w:eastAsia="方正仿宋_GBK" w:cs="Times New Roman"/>
          <w:b w:val="0"/>
          <w:bCs w:val="0"/>
          <w:snapToGrid/>
          <w:color w:val="auto"/>
          <w:kern w:val="2"/>
          <w:sz w:val="32"/>
          <w:szCs w:val="32"/>
          <w:highlight w:val="none"/>
          <w:lang w:val="en-US" w:eastAsia="zh-CN"/>
        </w:rPr>
        <w:t>和规划</w:t>
      </w:r>
      <w:r>
        <w:rPr>
          <w:rFonts w:hint="default" w:ascii="Times New Roman" w:hAnsi="Times New Roman" w:eastAsia="方正仿宋_GBK" w:cs="Times New Roman"/>
          <w:b w:val="0"/>
          <w:bCs w:val="0"/>
          <w:snapToGrid/>
          <w:color w:val="auto"/>
          <w:kern w:val="2"/>
          <w:sz w:val="32"/>
          <w:szCs w:val="32"/>
          <w:highlight w:val="none"/>
          <w:lang w:val="en-US" w:eastAsia="zh-CN"/>
        </w:rPr>
        <w:t>、应急管理等多部门的数据融合与业务协同，健全跨部门地震风险联合研判机制。</w:t>
      </w:r>
      <w:r>
        <w:rPr>
          <w:rFonts w:hint="default" w:ascii="Times New Roman" w:hAnsi="Times New Roman" w:eastAsia="方正仿宋_GBK" w:cs="Times New Roman"/>
          <w:snapToGrid/>
          <w:color w:val="auto"/>
          <w:kern w:val="2"/>
          <w:sz w:val="32"/>
          <w:szCs w:val="32"/>
          <w:lang w:val="en-US" w:eastAsia="zh-CN" w:bidi="ar-SA"/>
        </w:rPr>
        <w:t>推动地震预警信息与</w:t>
      </w:r>
      <w:r>
        <w:rPr>
          <w:rFonts w:hint="default" w:ascii="Times New Roman" w:hAnsi="Times New Roman" w:eastAsia="方正仿宋_GBK" w:cs="Times New Roman"/>
          <w:snapToGrid/>
          <w:color w:val="auto"/>
          <w:kern w:val="2"/>
          <w:sz w:val="32"/>
          <w:szCs w:val="32"/>
          <w:highlight w:val="none"/>
          <w:lang w:val="en-US" w:eastAsia="zh-CN" w:bidi="ar-SA"/>
        </w:rPr>
        <w:t>智慧社区、智慧校园、智慧交通等数字化平台深度融合，精准赋能公共安全场景。依托宿州“中国云都”数字产业基地的技术优势，</w:t>
      </w:r>
      <w:r>
        <w:rPr>
          <w:rFonts w:hint="eastAsia" w:ascii="Times New Roman" w:hAnsi="Times New Roman" w:eastAsia="方正仿宋_GBK" w:cs="Times New Roman"/>
          <w:snapToGrid/>
          <w:color w:val="auto"/>
          <w:kern w:val="2"/>
          <w:sz w:val="32"/>
          <w:szCs w:val="32"/>
          <w:highlight w:val="none"/>
          <w:lang w:val="en-US" w:eastAsia="zh-CN" w:bidi="ar-SA"/>
        </w:rPr>
        <w:t>面向</w:t>
      </w:r>
      <w:r>
        <w:rPr>
          <w:rFonts w:hint="default" w:ascii="Times New Roman" w:hAnsi="Times New Roman" w:eastAsia="方正仿宋_GBK" w:cs="Times New Roman"/>
          <w:snapToGrid/>
          <w:color w:val="auto"/>
          <w:kern w:val="2"/>
          <w:sz w:val="32"/>
          <w:szCs w:val="32"/>
          <w:highlight w:val="none"/>
          <w:lang w:val="en-US" w:eastAsia="zh-CN" w:bidi="ar-SA"/>
        </w:rPr>
        <w:t>皖北承接产业转移集聚区规上企业</w:t>
      </w:r>
      <w:r>
        <w:rPr>
          <w:rFonts w:hint="eastAsia" w:ascii="Times New Roman" w:hAnsi="Times New Roman" w:eastAsia="方正仿宋_GBK" w:cs="Times New Roman"/>
          <w:snapToGrid/>
          <w:color w:val="auto"/>
          <w:kern w:val="2"/>
          <w:sz w:val="32"/>
          <w:szCs w:val="32"/>
          <w:highlight w:val="none"/>
          <w:lang w:val="en-US" w:eastAsia="zh-CN" w:bidi="ar-SA"/>
        </w:rPr>
        <w:t>，</w:t>
      </w:r>
      <w:r>
        <w:rPr>
          <w:rFonts w:hint="default" w:ascii="Times New Roman" w:hAnsi="Times New Roman" w:eastAsia="方正仿宋_GBK" w:cs="Times New Roman"/>
          <w:snapToGrid/>
          <w:color w:val="auto"/>
          <w:kern w:val="2"/>
          <w:sz w:val="32"/>
          <w:szCs w:val="32"/>
          <w:highlight w:val="none"/>
          <w:lang w:val="en-US" w:eastAsia="zh-CN" w:bidi="ar-SA"/>
        </w:rPr>
        <w:t>提供抗震</w:t>
      </w:r>
      <w:r>
        <w:rPr>
          <w:rFonts w:hint="eastAsia" w:ascii="Times New Roman" w:hAnsi="Times New Roman" w:eastAsia="方正仿宋_GBK" w:cs="Times New Roman"/>
          <w:snapToGrid/>
          <w:color w:val="auto"/>
          <w:kern w:val="2"/>
          <w:sz w:val="32"/>
          <w:szCs w:val="32"/>
          <w:highlight w:val="none"/>
          <w:lang w:val="en-US" w:eastAsia="zh-CN" w:bidi="ar-SA"/>
        </w:rPr>
        <w:t>设防</w:t>
      </w:r>
      <w:r>
        <w:rPr>
          <w:rFonts w:hint="default" w:ascii="Times New Roman" w:hAnsi="Times New Roman" w:eastAsia="方正仿宋_GBK" w:cs="Times New Roman"/>
          <w:snapToGrid/>
          <w:color w:val="auto"/>
          <w:kern w:val="2"/>
          <w:sz w:val="32"/>
          <w:szCs w:val="32"/>
          <w:highlight w:val="none"/>
          <w:lang w:val="en-US" w:eastAsia="zh-CN" w:bidi="ar-SA"/>
        </w:rPr>
        <w:t>、应急演练</w:t>
      </w:r>
      <w:r>
        <w:rPr>
          <w:rFonts w:hint="eastAsia" w:ascii="Times New Roman" w:hAnsi="Times New Roman" w:eastAsia="方正仿宋_GBK" w:cs="Times New Roman"/>
          <w:snapToGrid/>
          <w:color w:val="auto"/>
          <w:kern w:val="2"/>
          <w:sz w:val="32"/>
          <w:szCs w:val="32"/>
          <w:highlight w:val="none"/>
          <w:lang w:val="en-US" w:eastAsia="zh-CN" w:bidi="ar-SA"/>
        </w:rPr>
        <w:t>和</w:t>
      </w:r>
      <w:r>
        <w:rPr>
          <w:rFonts w:hint="default" w:ascii="Times New Roman" w:hAnsi="Times New Roman" w:eastAsia="方正仿宋_GBK" w:cs="Times New Roman"/>
          <w:snapToGrid/>
          <w:color w:val="auto"/>
          <w:kern w:val="2"/>
          <w:sz w:val="32"/>
          <w:szCs w:val="32"/>
          <w:highlight w:val="none"/>
          <w:lang w:val="en-US" w:eastAsia="zh-CN" w:bidi="ar-SA"/>
        </w:rPr>
        <w:t>设备维护指导等“一站式”服务，构建多功能防震减灾数字化应用场景，促进</w:t>
      </w:r>
      <w:r>
        <w:rPr>
          <w:rFonts w:hint="eastAsia" w:ascii="Times New Roman" w:hAnsi="Times New Roman" w:eastAsia="方正仿宋_GBK" w:cs="Times New Roman"/>
          <w:snapToGrid/>
          <w:color w:val="auto"/>
          <w:kern w:val="2"/>
          <w:sz w:val="32"/>
          <w:szCs w:val="32"/>
          <w:highlight w:val="none"/>
          <w:lang w:val="en-US" w:eastAsia="zh-CN" w:bidi="ar-SA"/>
        </w:rPr>
        <w:t>营商环境</w:t>
      </w:r>
      <w:r>
        <w:rPr>
          <w:rFonts w:hint="default" w:ascii="Times New Roman" w:hAnsi="Times New Roman" w:eastAsia="方正仿宋_GBK" w:cs="Times New Roman"/>
          <w:snapToGrid/>
          <w:color w:val="auto"/>
          <w:kern w:val="2"/>
          <w:sz w:val="32"/>
          <w:szCs w:val="32"/>
          <w:highlight w:val="none"/>
          <w:lang w:val="en-US" w:eastAsia="zh-CN" w:bidi="ar-SA"/>
        </w:rPr>
        <w:t>与企业风险防控能力双提升。</w:t>
      </w:r>
    </w:p>
    <w:p w14:paraId="299C38D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napToGrid/>
          <w:color w:val="auto"/>
          <w:kern w:val="2"/>
          <w:sz w:val="32"/>
          <w:szCs w:val="32"/>
          <w:highlight w:val="none"/>
          <w:lang w:val="en-US" w:eastAsia="zh-CN"/>
        </w:rPr>
      </w:pPr>
      <w:r>
        <w:rPr>
          <w:rFonts w:hint="default" w:ascii="Times New Roman" w:hAnsi="Times New Roman" w:eastAsia="方正楷体_GBK" w:cs="Times New Roman"/>
          <w:snapToGrid/>
          <w:color w:val="auto"/>
          <w:kern w:val="2"/>
          <w:sz w:val="32"/>
          <w:szCs w:val="32"/>
          <w:highlight w:val="none"/>
          <w:lang w:val="en-US" w:eastAsia="zh-CN"/>
        </w:rPr>
        <w:t>（六）强化防震减灾综合治理能力</w:t>
      </w:r>
    </w:p>
    <w:p w14:paraId="519A8BFE">
      <w:pPr>
        <w:pStyle w:val="4"/>
        <w:keepNext w:val="0"/>
        <w:keepLines w:val="0"/>
        <w:pageBreakBefore w:val="0"/>
        <w:wordWrap/>
        <w:overflowPunct/>
        <w:topLinePunct w:val="0"/>
        <w:bidi w:val="0"/>
        <w:spacing w:line="600" w:lineRule="exact"/>
        <w:ind w:left="39" w:right="242" w:firstLine="628"/>
        <w:jc w:val="both"/>
        <w:outlineLvl w:val="0"/>
        <w:rPr>
          <w:rFonts w:hint="eastAsia"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bidi="ar-SA"/>
        </w:rPr>
        <w:t>1.健全</w:t>
      </w:r>
      <w:r>
        <w:rPr>
          <w:rFonts w:hint="eastAsia" w:ascii="Times New Roman" w:hAnsi="Times New Roman" w:eastAsia="方正仿宋_GBK" w:cs="Times New Roman"/>
          <w:b/>
          <w:bCs/>
          <w:snapToGrid/>
          <w:color w:val="auto"/>
          <w:kern w:val="2"/>
          <w:sz w:val="32"/>
          <w:szCs w:val="32"/>
          <w:highlight w:val="none"/>
          <w:lang w:val="en-US" w:eastAsia="zh-CN" w:bidi="ar-SA"/>
        </w:rPr>
        <w:t>完善</w:t>
      </w:r>
      <w:r>
        <w:rPr>
          <w:rFonts w:hint="default" w:ascii="Times New Roman" w:hAnsi="Times New Roman" w:eastAsia="方正仿宋_GBK" w:cs="Times New Roman"/>
          <w:b/>
          <w:bCs/>
          <w:snapToGrid/>
          <w:color w:val="auto"/>
          <w:kern w:val="2"/>
          <w:sz w:val="32"/>
          <w:szCs w:val="32"/>
          <w:highlight w:val="none"/>
          <w:lang w:val="en-US" w:eastAsia="zh-CN" w:bidi="ar-SA"/>
        </w:rPr>
        <w:t>体制机制。</w:t>
      </w:r>
      <w:r>
        <w:rPr>
          <w:rFonts w:hint="default" w:ascii="Times New Roman" w:hAnsi="Times New Roman" w:eastAsia="方正仿宋_GBK" w:cs="Times New Roman"/>
          <w:snapToGrid/>
          <w:color w:val="auto"/>
          <w:kern w:val="2"/>
          <w:sz w:val="32"/>
          <w:szCs w:val="32"/>
          <w:lang w:val="en-US" w:eastAsia="zh-CN" w:bidi="ar-SA"/>
        </w:rPr>
        <w:t>深入落实“党委领导、政府负责、社会协同、公众参与、法治保障”的防震减灾社会治理体系，将市县防震减灾工作纳入国民经济和社会发展规划、纳入财政预算</w:t>
      </w:r>
      <w:r>
        <w:rPr>
          <w:rFonts w:hint="eastAsia" w:ascii="Times New Roman" w:hAnsi="Times New Roman" w:eastAsia="方正仿宋_GBK" w:cs="Times New Roman"/>
          <w:snapToGrid/>
          <w:color w:val="auto"/>
          <w:kern w:val="2"/>
          <w:sz w:val="32"/>
          <w:szCs w:val="32"/>
          <w:lang w:val="en-US" w:eastAsia="zh-CN" w:bidi="ar-SA"/>
        </w:rPr>
        <w:t>、</w:t>
      </w:r>
      <w:r>
        <w:rPr>
          <w:rFonts w:hint="default" w:ascii="Times New Roman" w:hAnsi="Times New Roman" w:eastAsia="方正仿宋_GBK" w:cs="Times New Roman"/>
          <w:snapToGrid/>
          <w:color w:val="auto"/>
          <w:kern w:val="2"/>
          <w:sz w:val="32"/>
          <w:szCs w:val="32"/>
          <w:lang w:val="en-US" w:eastAsia="zh-CN" w:bidi="ar-SA"/>
        </w:rPr>
        <w:t>纳入政府重要议事日程。推动市县两级防震减灾工作机构全覆盖，进一步厘清市、县、乡三级政府及应急、住建、自然资源</w:t>
      </w:r>
      <w:r>
        <w:rPr>
          <w:rFonts w:hint="eastAsia" w:ascii="Times New Roman" w:hAnsi="Times New Roman" w:eastAsia="方正仿宋_GBK" w:cs="Times New Roman"/>
          <w:snapToGrid/>
          <w:color w:val="auto"/>
          <w:kern w:val="2"/>
          <w:sz w:val="32"/>
          <w:szCs w:val="32"/>
          <w:lang w:val="en-US" w:eastAsia="zh-CN" w:bidi="ar-SA"/>
        </w:rPr>
        <w:t>和规划</w:t>
      </w:r>
      <w:r>
        <w:rPr>
          <w:rFonts w:hint="default" w:ascii="Times New Roman" w:hAnsi="Times New Roman" w:eastAsia="方正仿宋_GBK" w:cs="Times New Roman"/>
          <w:snapToGrid/>
          <w:color w:val="auto"/>
          <w:kern w:val="2"/>
          <w:sz w:val="32"/>
          <w:szCs w:val="32"/>
          <w:lang w:val="en-US" w:eastAsia="zh-CN" w:bidi="ar-SA"/>
        </w:rPr>
        <w:t>、教育等部门的职责边界，督促防震减灾法定职责落实落地。</w:t>
      </w:r>
    </w:p>
    <w:p w14:paraId="015887BF">
      <w:pPr>
        <w:pStyle w:val="4"/>
        <w:keepNext w:val="0"/>
        <w:keepLines w:val="0"/>
        <w:pageBreakBefore w:val="0"/>
        <w:wordWrap/>
        <w:overflowPunct/>
        <w:topLinePunct w:val="0"/>
        <w:bidi w:val="0"/>
        <w:spacing w:line="600" w:lineRule="exact"/>
        <w:ind w:left="6" w:firstLine="654"/>
        <w:jc w:val="both"/>
        <w:outlineLvl w:val="0"/>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bidi="ar-SA"/>
        </w:rPr>
        <w:t>2.</w:t>
      </w:r>
      <w:r>
        <w:rPr>
          <w:rFonts w:hint="eastAsia" w:ascii="Times New Roman" w:hAnsi="Times New Roman" w:eastAsia="方正仿宋_GBK" w:cs="Times New Roman"/>
          <w:b/>
          <w:bCs/>
          <w:snapToGrid/>
          <w:color w:val="auto"/>
          <w:kern w:val="2"/>
          <w:sz w:val="32"/>
          <w:szCs w:val="32"/>
          <w:highlight w:val="none"/>
          <w:lang w:val="en-US" w:eastAsia="zh-CN" w:bidi="ar-SA"/>
        </w:rPr>
        <w:t>夯实基层</w:t>
      </w:r>
      <w:r>
        <w:rPr>
          <w:rFonts w:hint="default" w:ascii="Times New Roman" w:hAnsi="Times New Roman" w:eastAsia="方正仿宋_GBK" w:cs="Times New Roman"/>
          <w:b/>
          <w:bCs/>
          <w:snapToGrid/>
          <w:color w:val="auto"/>
          <w:kern w:val="2"/>
          <w:sz w:val="32"/>
          <w:szCs w:val="32"/>
          <w:highlight w:val="none"/>
          <w:lang w:val="en-US" w:eastAsia="zh-CN" w:bidi="ar-SA"/>
        </w:rPr>
        <w:t>基础</w:t>
      </w:r>
      <w:r>
        <w:rPr>
          <w:rFonts w:hint="eastAsia" w:ascii="Times New Roman" w:hAnsi="Times New Roman" w:eastAsia="方正仿宋_GBK" w:cs="Times New Roman"/>
          <w:b/>
          <w:bCs/>
          <w:snapToGrid/>
          <w:color w:val="auto"/>
          <w:kern w:val="2"/>
          <w:sz w:val="32"/>
          <w:szCs w:val="32"/>
          <w:highlight w:val="none"/>
          <w:lang w:val="en-US" w:eastAsia="zh-CN" w:bidi="ar-SA"/>
        </w:rPr>
        <w:t>能力</w:t>
      </w:r>
      <w:r>
        <w:rPr>
          <w:rFonts w:hint="default" w:ascii="Times New Roman" w:hAnsi="Times New Roman" w:eastAsia="方正仿宋_GBK" w:cs="Times New Roman"/>
          <w:b/>
          <w:bCs/>
          <w:snapToGrid/>
          <w:color w:val="auto"/>
          <w:kern w:val="2"/>
          <w:sz w:val="32"/>
          <w:szCs w:val="32"/>
          <w:highlight w:val="none"/>
          <w:lang w:val="en-US" w:eastAsia="zh-CN" w:bidi="ar-SA"/>
        </w:rPr>
        <w:t>。</w:t>
      </w:r>
      <w:r>
        <w:rPr>
          <w:rFonts w:hint="eastAsia" w:ascii="Times New Roman" w:hAnsi="Times New Roman" w:eastAsia="方正仿宋_GBK" w:cs="Times New Roman"/>
          <w:b w:val="0"/>
          <w:bCs w:val="0"/>
          <w:snapToGrid/>
          <w:color w:val="auto"/>
          <w:kern w:val="2"/>
          <w:sz w:val="32"/>
          <w:szCs w:val="32"/>
          <w:highlight w:val="none"/>
          <w:lang w:val="en-US" w:eastAsia="zh-CN" w:bidi="ar-SA"/>
        </w:rPr>
        <w:t>健全</w:t>
      </w:r>
      <w:r>
        <w:rPr>
          <w:rFonts w:hint="default" w:ascii="Times New Roman" w:hAnsi="Times New Roman" w:eastAsia="方正仿宋_GBK" w:cs="Times New Roman"/>
          <w:snapToGrid/>
          <w:color w:val="auto"/>
          <w:kern w:val="2"/>
          <w:sz w:val="32"/>
          <w:szCs w:val="32"/>
          <w:lang w:val="en-US" w:eastAsia="zh-CN" w:bidi="ar-SA"/>
        </w:rPr>
        <w:t>市县防震减灾培训体系，常态化开展</w:t>
      </w:r>
      <w:r>
        <w:rPr>
          <w:rFonts w:hint="eastAsia" w:ascii="Times New Roman" w:hAnsi="Times New Roman" w:eastAsia="方正仿宋_GBK" w:cs="Times New Roman"/>
          <w:snapToGrid/>
          <w:color w:val="auto"/>
          <w:kern w:val="2"/>
          <w:sz w:val="32"/>
          <w:szCs w:val="32"/>
          <w:lang w:val="en-US" w:eastAsia="zh-CN" w:bidi="ar-SA"/>
        </w:rPr>
        <w:t>实践锻炼</w:t>
      </w:r>
      <w:r>
        <w:rPr>
          <w:rFonts w:hint="default" w:ascii="Times New Roman" w:hAnsi="Times New Roman" w:eastAsia="方正仿宋_GBK" w:cs="Times New Roman"/>
          <w:snapToGrid/>
          <w:color w:val="auto"/>
          <w:kern w:val="2"/>
          <w:sz w:val="32"/>
          <w:szCs w:val="32"/>
          <w:lang w:val="en-US" w:eastAsia="zh-CN" w:bidi="ar-SA"/>
        </w:rPr>
        <w:t>、实战演练和专业技能培训，重点提升基层工作人员风险研判、应急处置和群众组织能力。加强防震减灾事业经费保障，支持地震灾害风险重点地区和基础薄弱地区防震减灾能力建设，提升基层震灾风险应对能力，因地制宜推进市县防震减灾基础业务平台建设。</w:t>
      </w:r>
    </w:p>
    <w:p w14:paraId="1C13BA7A">
      <w:pPr>
        <w:pStyle w:val="4"/>
        <w:keepNext w:val="0"/>
        <w:keepLines w:val="0"/>
        <w:pageBreakBefore w:val="0"/>
        <w:wordWrap/>
        <w:overflowPunct/>
        <w:topLinePunct w:val="0"/>
        <w:bidi w:val="0"/>
        <w:spacing w:line="600" w:lineRule="exact"/>
        <w:ind w:left="135" w:right="2" w:firstLine="654"/>
        <w:jc w:val="both"/>
        <w:outlineLvl w:val="0"/>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highlight w:val="none"/>
          <w:lang w:val="en-US" w:eastAsia="zh-CN" w:bidi="ar-SA"/>
        </w:rPr>
        <w:t>3.深化法治建设与监管。</w:t>
      </w:r>
      <w:r>
        <w:rPr>
          <w:rFonts w:hint="default" w:ascii="Times New Roman" w:hAnsi="Times New Roman" w:eastAsia="方正仿宋_GBK" w:cs="Times New Roman"/>
          <w:snapToGrid/>
          <w:color w:val="auto"/>
          <w:kern w:val="2"/>
          <w:sz w:val="32"/>
          <w:szCs w:val="32"/>
          <w:lang w:val="en-US" w:eastAsia="zh-CN" w:bidi="ar-SA"/>
        </w:rPr>
        <w:t>将防震减灾法治</w:t>
      </w:r>
      <w:r>
        <w:rPr>
          <w:rFonts w:hint="default" w:ascii="Times New Roman" w:hAnsi="Times New Roman" w:eastAsia="方正仿宋_GBK" w:cs="Times New Roman"/>
          <w:snapToGrid/>
          <w:color w:val="auto"/>
          <w:kern w:val="2"/>
          <w:sz w:val="32"/>
          <w:szCs w:val="32"/>
          <w:highlight w:val="none"/>
          <w:lang w:val="en-US" w:eastAsia="zh-CN" w:bidi="ar-SA"/>
        </w:rPr>
        <w:t>建设纳入宿州市法治政府建设工作总体布局，</w:t>
      </w:r>
      <w:r>
        <w:rPr>
          <w:rFonts w:hint="eastAsia" w:ascii="Times New Roman" w:hAnsi="Times New Roman" w:eastAsia="方正仿宋_GBK" w:cs="Times New Roman"/>
          <w:snapToGrid/>
          <w:color w:val="auto"/>
          <w:kern w:val="2"/>
          <w:sz w:val="32"/>
          <w:szCs w:val="32"/>
          <w:highlight w:val="none"/>
          <w:lang w:val="en-US" w:eastAsia="zh-CN" w:bidi="ar-SA"/>
        </w:rPr>
        <w:t>结合实际修订完善</w:t>
      </w:r>
      <w:r>
        <w:rPr>
          <w:rFonts w:hint="default" w:ascii="Times New Roman" w:hAnsi="Times New Roman" w:eastAsia="方正仿宋_GBK" w:cs="Times New Roman"/>
          <w:snapToGrid/>
          <w:color w:val="auto"/>
          <w:kern w:val="2"/>
          <w:sz w:val="32"/>
          <w:szCs w:val="32"/>
          <w:highlight w:val="none"/>
          <w:lang w:val="en-US" w:eastAsia="zh-CN" w:bidi="ar-SA"/>
        </w:rPr>
        <w:t>市级防震减灾</w:t>
      </w:r>
      <w:r>
        <w:rPr>
          <w:rFonts w:hint="eastAsia" w:ascii="Times New Roman" w:hAnsi="Times New Roman" w:eastAsia="方正仿宋_GBK" w:cs="Times New Roman"/>
          <w:snapToGrid/>
          <w:color w:val="auto"/>
          <w:kern w:val="2"/>
          <w:sz w:val="32"/>
          <w:szCs w:val="32"/>
          <w:highlight w:val="none"/>
          <w:lang w:val="en-US" w:eastAsia="zh-CN" w:bidi="ar-SA"/>
        </w:rPr>
        <w:t>相关</w:t>
      </w:r>
      <w:r>
        <w:rPr>
          <w:rFonts w:hint="default" w:ascii="Times New Roman" w:hAnsi="Times New Roman" w:eastAsia="方正仿宋_GBK" w:cs="Times New Roman"/>
          <w:snapToGrid/>
          <w:color w:val="auto"/>
          <w:kern w:val="2"/>
          <w:sz w:val="32"/>
          <w:szCs w:val="32"/>
          <w:highlight w:val="none"/>
          <w:lang w:val="en-US" w:eastAsia="zh-CN" w:bidi="ar-SA"/>
        </w:rPr>
        <w:t>规范性文件，强化行政执法。深入推进地震安全性</w:t>
      </w:r>
      <w:r>
        <w:rPr>
          <w:rFonts w:hint="default" w:ascii="Times New Roman" w:hAnsi="Times New Roman" w:eastAsia="方正仿宋_GBK" w:cs="Times New Roman"/>
          <w:snapToGrid/>
          <w:color w:val="auto"/>
          <w:kern w:val="2"/>
          <w:sz w:val="32"/>
          <w:szCs w:val="32"/>
          <w:lang w:val="en-US" w:eastAsia="zh-CN" w:bidi="ar-SA"/>
        </w:rPr>
        <w:t>评价管理改革，强化建设工程地震安全监管，依法加强地震监测设施和地震观测环境保护。</w:t>
      </w:r>
    </w:p>
    <w:p w14:paraId="27C17CE6">
      <w:pPr>
        <w:keepNext w:val="0"/>
        <w:keepLines w:val="0"/>
        <w:pageBreakBefore w:val="0"/>
        <w:wordWrap/>
        <w:overflowPunct/>
        <w:topLinePunct w:val="0"/>
        <w:bidi w:val="0"/>
        <w:spacing w:line="600" w:lineRule="exact"/>
        <w:ind w:firstLine="644" w:firstLineChars="200"/>
        <w:outlineLvl w:val="0"/>
        <w:rPr>
          <w:rFonts w:ascii="黑体" w:hAnsi="黑体" w:eastAsia="黑体" w:cs="黑体"/>
          <w:spacing w:val="6"/>
          <w:sz w:val="31"/>
          <w:szCs w:val="31"/>
          <w:highlight w:val="none"/>
        </w:rPr>
      </w:pPr>
      <w:r>
        <w:rPr>
          <w:rFonts w:ascii="黑体" w:hAnsi="黑体" w:eastAsia="黑体" w:cs="黑体"/>
          <w:spacing w:val="6"/>
          <w:sz w:val="31"/>
          <w:szCs w:val="31"/>
          <w:highlight w:val="none"/>
        </w:rPr>
        <w:t>五、重点工程项目</w:t>
      </w:r>
    </w:p>
    <w:p w14:paraId="599F4C10">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Times New Roman"/>
          <w:snapToGrid/>
          <w:color w:val="auto"/>
          <w:kern w:val="2"/>
          <w:sz w:val="32"/>
          <w:szCs w:val="32"/>
          <w:highlight w:val="none"/>
          <w:lang w:val="en-US" w:eastAsia="zh-CN"/>
        </w:rPr>
      </w:pPr>
      <w:r>
        <w:rPr>
          <w:rFonts w:hint="eastAsia" w:ascii="Times New Roman" w:hAnsi="Times New Roman" w:eastAsia="方正楷体_GBK" w:cs="Times New Roman"/>
          <w:snapToGrid/>
          <w:color w:val="auto"/>
          <w:kern w:val="2"/>
          <w:sz w:val="32"/>
          <w:szCs w:val="32"/>
          <w:highlight w:val="none"/>
          <w:lang w:val="en-US" w:eastAsia="zh-CN"/>
        </w:rPr>
        <w:t>（一）宿州市地震监测预警能力提升工程</w:t>
      </w:r>
    </w:p>
    <w:p w14:paraId="1D1B65AC">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color w:val="auto"/>
          <w:kern w:val="2"/>
          <w:sz w:val="32"/>
          <w:szCs w:val="32"/>
          <w:lang w:val="en-US" w:eastAsia="zh-CN" w:bidi="ar-SA"/>
        </w:rPr>
      </w:pPr>
      <w:r>
        <w:rPr>
          <w:rFonts w:hint="eastAsia" w:ascii="Times New Roman" w:hAnsi="Times New Roman" w:eastAsia="方正仿宋_GBK" w:cs="Times New Roman"/>
          <w:snapToGrid/>
          <w:color w:val="auto"/>
          <w:kern w:val="2"/>
          <w:sz w:val="32"/>
          <w:szCs w:val="32"/>
          <w:lang w:val="en-US" w:eastAsia="zh-CN" w:bidi="ar-SA"/>
        </w:rPr>
        <w:t>优化地震监测站网布局，加密站点布设，提升动态监测水平。运用大数据、人工智能等技术赋能站网智能运维，推进老旧设备更新升级，健全震情会商机制，强化非天然地震监测与快速异常处置；推进地震预警服务提质升级，重点提升地震烈度速报时效性与预警精度，扩大预警终端在人员密集场所及重点行业的覆盖范围，拓展行业应用场景，全面提升地震监测预警综合效能。</w:t>
      </w:r>
    </w:p>
    <w:tbl>
      <w:tblPr>
        <w:tblStyle w:val="22"/>
        <w:tblW w:w="8887"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87"/>
      </w:tblGrid>
      <w:tr w14:paraId="3ACEFE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08" w:hRule="atLeast"/>
          <w:jc w:val="center"/>
        </w:trPr>
        <w:tc>
          <w:tcPr>
            <w:tcW w:w="8887" w:type="dxa"/>
            <w:vAlign w:val="center"/>
          </w:tcPr>
          <w:p w14:paraId="1F7E23F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0"/>
              <w:rPr>
                <w:rFonts w:hint="default" w:ascii="Times New Roman" w:hAnsi="Times New Roman" w:eastAsia="方正仿宋_GBK" w:cs="Times New Roman"/>
                <w:b/>
                <w:bCs/>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专栏 1 地震监测预警能力提升工程</w:t>
            </w:r>
          </w:p>
          <w:p w14:paraId="0A41F782">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监测能力提升工程。</w:t>
            </w:r>
            <w:r>
              <w:rPr>
                <w:rFonts w:hint="default" w:ascii="Times New Roman" w:hAnsi="Times New Roman" w:eastAsia="方正仿宋_GBK" w:cs="Times New Roman"/>
                <w:snapToGrid/>
                <w:color w:val="auto"/>
                <w:kern w:val="2"/>
                <w:sz w:val="32"/>
                <w:szCs w:val="32"/>
                <w:lang w:val="en-US" w:eastAsia="zh-CN" w:bidi="ar-SA"/>
              </w:rPr>
              <w:t>运用大数据、人工智能等新技术，全面提升全市地震监测站网实时监控、运维调度及智能产出能力，强化市级地震监测中心智能化水平。优化地震监测站网布局，因地制宜促进设备升级改造，</w:t>
            </w:r>
            <w:r>
              <w:rPr>
                <w:rFonts w:hint="default" w:ascii="Times New Roman" w:hAnsi="Times New Roman" w:eastAsia="方正仿宋_GBK" w:cs="Times New Roman"/>
                <w:sz w:val="32"/>
                <w:szCs w:val="32"/>
                <w:highlight w:val="none"/>
                <w:lang w:val="en-US" w:eastAsia="zh-CN"/>
              </w:rPr>
              <w:t>推进量子地震观测台网建设，</w:t>
            </w:r>
            <w:r>
              <w:rPr>
                <w:rFonts w:hint="default" w:ascii="Times New Roman" w:hAnsi="Times New Roman" w:eastAsia="方正仿宋_GBK" w:cs="Times New Roman"/>
                <w:snapToGrid/>
                <w:color w:val="auto"/>
                <w:kern w:val="2"/>
                <w:sz w:val="32"/>
                <w:szCs w:val="32"/>
                <w:lang w:val="en-US" w:eastAsia="zh-CN" w:bidi="ar-SA"/>
              </w:rPr>
              <w:t>系统提升全市地震监测台网运维管理效能。健全震情会商机制，加强地震预测研究，制定震情监视跟踪与应急准备工作实施方案，高效落实地震宏微观异常核实与处置。强化地震观测环境保护，最大程度减轻城市建设对观测环境的干扰。</w:t>
            </w:r>
          </w:p>
          <w:p w14:paraId="4C3CAC3B">
            <w:pPr>
              <w:pStyle w:val="2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预警服务提升工程。</w:t>
            </w:r>
            <w:r>
              <w:rPr>
                <w:rFonts w:hint="default" w:ascii="Times New Roman" w:hAnsi="Times New Roman" w:eastAsia="方正仿宋_GBK" w:cs="Times New Roman"/>
                <w:b w:val="0"/>
                <w:bCs w:val="0"/>
                <w:snapToGrid/>
                <w:color w:val="auto"/>
                <w:kern w:val="2"/>
                <w:sz w:val="32"/>
                <w:szCs w:val="32"/>
                <w:lang w:val="en-US" w:eastAsia="zh-CN" w:bidi="ar-SA"/>
              </w:rPr>
              <w:t>依托国家地震烈度速报与预警工程，重点提升全市地震烈度速报时效性与预警精度，强化面向政府应急决策部门、社会公众及重要工程的多场景预警服务能力。扩大预警终端在党政机关、学校、</w:t>
            </w:r>
            <w:r>
              <w:rPr>
                <w:rFonts w:hint="eastAsia" w:ascii="Times New Roman" w:hAnsi="Times New Roman" w:eastAsia="方正仿宋_GBK" w:cs="Times New Roman"/>
                <w:b w:val="0"/>
                <w:bCs w:val="0"/>
                <w:snapToGrid/>
                <w:color w:val="auto"/>
                <w:kern w:val="2"/>
                <w:sz w:val="32"/>
                <w:szCs w:val="32"/>
                <w:lang w:val="en-US" w:eastAsia="zh-CN" w:bidi="ar-SA"/>
              </w:rPr>
              <w:t>医院</w:t>
            </w:r>
            <w:r>
              <w:rPr>
                <w:rFonts w:hint="default" w:ascii="Times New Roman" w:hAnsi="Times New Roman" w:eastAsia="方正仿宋_GBK" w:cs="Times New Roman"/>
                <w:b w:val="0"/>
                <w:bCs w:val="0"/>
                <w:snapToGrid/>
                <w:color w:val="auto"/>
                <w:kern w:val="2"/>
                <w:sz w:val="32"/>
                <w:szCs w:val="32"/>
                <w:lang w:val="en-US" w:eastAsia="zh-CN" w:bidi="ar-SA"/>
              </w:rPr>
              <w:t>等人员密集场所的覆盖范围，同步推进预警服务在交通、矿山、危化品等重点行业（企业）的推广应用。拓展预警信息发布渠道，通过与网络电视、智能手机客户端、应急广播等平台协同联动，逐步构建以终端、广播、手机、电视为主要渠道、覆盖各类场景的预警信息发布体系。</w:t>
            </w:r>
          </w:p>
        </w:tc>
      </w:tr>
    </w:tbl>
    <w:p w14:paraId="4A405C1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jc w:val="both"/>
        <w:textAlignment w:val="auto"/>
        <w:rPr>
          <w:rFonts w:hint="eastAsia" w:ascii="Times New Roman" w:hAnsi="Times New Roman" w:eastAsia="方正楷体_GBK" w:cs="Times New Roman"/>
          <w:snapToGrid/>
          <w:color w:val="auto"/>
          <w:kern w:val="2"/>
          <w:sz w:val="32"/>
          <w:szCs w:val="32"/>
          <w:highlight w:val="none"/>
          <w:lang w:val="en-US" w:eastAsia="zh-CN"/>
        </w:rPr>
      </w:pPr>
    </w:p>
    <w:p w14:paraId="05D4B330">
      <w:pPr>
        <w:pStyle w:val="4"/>
        <w:keepNext w:val="0"/>
        <w:keepLines w:val="0"/>
        <w:pageBreakBefore w:val="0"/>
        <w:wordWrap/>
        <w:overflowPunct/>
        <w:topLinePunct w:val="0"/>
        <w:bidi w:val="0"/>
        <w:spacing w:line="600" w:lineRule="exact"/>
        <w:ind w:right="242" w:firstLine="640" w:firstLineChars="200"/>
        <w:jc w:val="both"/>
        <w:outlineLvl w:val="0"/>
        <w:rPr>
          <w:rFonts w:hint="eastAsia" w:ascii="Times New Roman" w:hAnsi="Times New Roman" w:eastAsia="方正楷体_GBK" w:cs="Times New Roman"/>
          <w:snapToGrid/>
          <w:color w:val="auto"/>
          <w:kern w:val="2"/>
          <w:sz w:val="32"/>
          <w:szCs w:val="32"/>
          <w:highlight w:val="none"/>
          <w:lang w:val="en-US" w:eastAsia="zh-CN" w:bidi="ar-SA"/>
        </w:rPr>
      </w:pPr>
    </w:p>
    <w:p w14:paraId="12925F19">
      <w:pPr>
        <w:pStyle w:val="4"/>
        <w:keepNext w:val="0"/>
        <w:keepLines w:val="0"/>
        <w:pageBreakBefore w:val="0"/>
        <w:wordWrap/>
        <w:overflowPunct/>
        <w:topLinePunct w:val="0"/>
        <w:bidi w:val="0"/>
        <w:spacing w:line="600" w:lineRule="exact"/>
        <w:ind w:right="242" w:firstLine="640" w:firstLineChars="200"/>
        <w:jc w:val="both"/>
        <w:outlineLvl w:val="0"/>
        <w:rPr>
          <w:rFonts w:hint="eastAsia" w:ascii="Times New Roman" w:hAnsi="Times New Roman" w:eastAsia="方正楷体_GBK" w:cs="Times New Roman"/>
          <w:snapToGrid/>
          <w:color w:val="auto"/>
          <w:kern w:val="2"/>
          <w:sz w:val="32"/>
          <w:szCs w:val="32"/>
          <w:highlight w:val="none"/>
          <w:lang w:val="en-US" w:eastAsia="zh-CN" w:bidi="ar-SA"/>
        </w:rPr>
      </w:pPr>
    </w:p>
    <w:p w14:paraId="64B6452C">
      <w:pPr>
        <w:pStyle w:val="4"/>
        <w:keepNext w:val="0"/>
        <w:keepLines w:val="0"/>
        <w:pageBreakBefore w:val="0"/>
        <w:wordWrap/>
        <w:overflowPunct/>
        <w:topLinePunct w:val="0"/>
        <w:bidi w:val="0"/>
        <w:spacing w:line="600" w:lineRule="exact"/>
        <w:ind w:right="242" w:firstLine="640" w:firstLineChars="200"/>
        <w:jc w:val="both"/>
        <w:outlineLvl w:val="0"/>
        <w:rPr>
          <w:rFonts w:hint="default" w:ascii="Times New Roman" w:hAnsi="Times New Roman" w:eastAsia="方正楷体_GBK" w:cs="Times New Roman"/>
          <w:snapToGrid/>
          <w:color w:val="auto"/>
          <w:kern w:val="2"/>
          <w:sz w:val="32"/>
          <w:szCs w:val="32"/>
          <w:highlight w:val="none"/>
          <w:lang w:val="en-US" w:eastAsia="zh-CN" w:bidi="ar-SA"/>
        </w:rPr>
      </w:pPr>
      <w:r>
        <w:rPr>
          <w:rFonts w:hint="eastAsia" w:ascii="Times New Roman" w:hAnsi="Times New Roman" w:eastAsia="方正楷体_GBK" w:cs="Times New Roman"/>
          <w:snapToGrid/>
          <w:color w:val="auto"/>
          <w:kern w:val="2"/>
          <w:sz w:val="32"/>
          <w:szCs w:val="32"/>
          <w:highlight w:val="none"/>
          <w:lang w:val="en-US" w:eastAsia="zh-CN" w:bidi="ar-SA"/>
        </w:rPr>
        <w:t>（二）</w:t>
      </w:r>
      <w:r>
        <w:rPr>
          <w:rFonts w:hint="default" w:ascii="Times New Roman" w:hAnsi="Times New Roman" w:eastAsia="方正楷体_GBK" w:cs="Times New Roman"/>
          <w:snapToGrid/>
          <w:color w:val="auto"/>
          <w:kern w:val="2"/>
          <w:sz w:val="32"/>
          <w:szCs w:val="32"/>
          <w:highlight w:val="none"/>
          <w:lang w:val="en-US" w:eastAsia="zh-CN" w:bidi="ar-SA"/>
        </w:rPr>
        <w:t>地震灾害风险防治与防震减灾科普基础能力提升工程</w:t>
      </w:r>
    </w:p>
    <w:p w14:paraId="32F7628D">
      <w:pPr>
        <w:pStyle w:val="4"/>
        <w:keepNext w:val="0"/>
        <w:keepLines w:val="0"/>
        <w:pageBreakBefore w:val="0"/>
        <w:wordWrap/>
        <w:overflowPunct/>
        <w:topLinePunct w:val="0"/>
        <w:bidi w:val="0"/>
        <w:spacing w:line="600" w:lineRule="exact"/>
        <w:ind w:right="242" w:firstLine="640" w:firstLineChars="200"/>
        <w:jc w:val="both"/>
        <w:outlineLvl w:val="0"/>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对重要断裂带、重点区域开展地震构造环境探查与地震活动断层探测，提升探查数据的公共服务能力。加快推进地震灾害损失预评估工作，指导各县（区）有序完成预评估任务，着力提升城市地震灾害风险防治与应急准备能力。有序推进全市各类防震减灾科普场馆新建、改造与升级工作，推动各类科普场馆、主题公园、旅游景区等完善防震减灾科普功能，提高防震减灾科普服务水平，增强公众地震应急避险能力和自救互救技能。</w:t>
      </w:r>
    </w:p>
    <w:p w14:paraId="6816317E">
      <w:pPr>
        <w:tabs>
          <w:tab w:val="left" w:pos="2865"/>
        </w:tabs>
        <w:bidi w:val="0"/>
        <w:jc w:val="left"/>
        <w:rPr>
          <w:rFonts w:hint="default"/>
          <w:lang w:val="en-US" w:eastAsia="zh-CN"/>
        </w:rPr>
      </w:pPr>
    </w:p>
    <w:tbl>
      <w:tblPr>
        <w:tblStyle w:val="22"/>
        <w:tblW w:w="896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49FD2D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3" w:hRule="atLeast"/>
          <w:jc w:val="center"/>
        </w:trPr>
        <w:tc>
          <w:tcPr>
            <w:tcW w:w="8963" w:type="dxa"/>
            <w:vAlign w:val="top"/>
          </w:tcPr>
          <w:p w14:paraId="35077A2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0"/>
              <w:rPr>
                <w:rFonts w:hint="default" w:ascii="Times New Roman" w:hAnsi="Times New Roman" w:eastAsia="方正仿宋_GBK" w:cs="Times New Roman"/>
                <w:b/>
                <w:bCs/>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专栏 2 地震灾害风险防治与防震减灾科普基础能力</w:t>
            </w:r>
            <w:r>
              <w:rPr>
                <w:rFonts w:hint="eastAsia" w:ascii="Times New Roman" w:hAnsi="Times New Roman" w:eastAsia="方正仿宋_GBK" w:cs="Times New Roman"/>
                <w:b/>
                <w:bCs/>
                <w:snapToGrid/>
                <w:color w:val="auto"/>
                <w:kern w:val="2"/>
                <w:sz w:val="32"/>
                <w:szCs w:val="32"/>
                <w:lang w:val="en-US" w:eastAsia="zh-CN" w:bidi="ar-SA"/>
              </w:rPr>
              <w:t>提升</w:t>
            </w:r>
            <w:r>
              <w:rPr>
                <w:rFonts w:hint="default" w:ascii="Times New Roman" w:hAnsi="Times New Roman" w:eastAsia="方正仿宋_GBK" w:cs="Times New Roman"/>
                <w:b/>
                <w:bCs/>
                <w:snapToGrid/>
                <w:color w:val="auto"/>
                <w:kern w:val="2"/>
                <w:sz w:val="32"/>
                <w:szCs w:val="32"/>
                <w:lang w:val="en-US" w:eastAsia="zh-CN" w:bidi="ar-SA"/>
              </w:rPr>
              <w:t>工程</w:t>
            </w:r>
          </w:p>
          <w:p w14:paraId="25367D2F">
            <w:pPr>
              <w:pStyle w:val="2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地震灾害风险防治能力提升工程。</w:t>
            </w:r>
            <w:r>
              <w:rPr>
                <w:rFonts w:hint="default" w:ascii="Times New Roman" w:hAnsi="Times New Roman" w:eastAsia="方正仿宋_GBK" w:cs="Times New Roman"/>
                <w:snapToGrid/>
                <w:color w:val="auto"/>
                <w:kern w:val="2"/>
                <w:sz w:val="32"/>
                <w:szCs w:val="32"/>
                <w:lang w:val="en-US" w:eastAsia="zh-CN" w:bidi="ar-SA"/>
              </w:rPr>
              <w:t>在</w:t>
            </w:r>
            <w:r>
              <w:rPr>
                <w:rFonts w:hint="default" w:ascii="Times New Roman" w:hAnsi="Times New Roman" w:eastAsia="方正仿宋_GBK" w:cs="Times New Roman"/>
                <w:snapToGrid/>
                <w:color w:val="auto"/>
                <w:kern w:val="2"/>
                <w:sz w:val="32"/>
                <w:szCs w:val="32"/>
                <w:lang w:val="en-US" w:eastAsia="en-US" w:bidi="ar-SA"/>
              </w:rPr>
              <w:t>郯庐断裂带等重要断裂带</w:t>
            </w:r>
            <w:r>
              <w:rPr>
                <w:rFonts w:hint="default" w:ascii="Times New Roman" w:hAnsi="Times New Roman" w:eastAsia="方正仿宋_GBK" w:cs="Times New Roman"/>
                <w:snapToGrid/>
                <w:color w:val="auto"/>
                <w:kern w:val="2"/>
                <w:sz w:val="32"/>
                <w:szCs w:val="32"/>
                <w:lang w:val="en-US" w:eastAsia="zh-CN" w:bidi="ar-SA"/>
              </w:rPr>
              <w:t>及重点</w:t>
            </w:r>
            <w:r>
              <w:rPr>
                <w:rFonts w:hint="default" w:ascii="Times New Roman" w:hAnsi="Times New Roman" w:eastAsia="方正仿宋_GBK" w:cs="Times New Roman"/>
                <w:snapToGrid/>
                <w:color w:val="auto"/>
                <w:kern w:val="2"/>
                <w:sz w:val="32"/>
                <w:szCs w:val="32"/>
                <w:lang w:val="en-US" w:eastAsia="en-US" w:bidi="ar-SA"/>
              </w:rPr>
              <w:t>区域开展地震构造环境探查</w:t>
            </w:r>
            <w:r>
              <w:rPr>
                <w:rFonts w:hint="default" w:ascii="Times New Roman" w:hAnsi="Times New Roman" w:eastAsia="方正仿宋_GBK" w:cs="Times New Roman"/>
                <w:snapToGrid/>
                <w:color w:val="auto"/>
                <w:kern w:val="2"/>
                <w:sz w:val="32"/>
                <w:szCs w:val="32"/>
                <w:lang w:val="en-US" w:eastAsia="zh-CN" w:bidi="ar-SA"/>
              </w:rPr>
              <w:t>与地震活动断层探测，</w:t>
            </w:r>
            <w:r>
              <w:rPr>
                <w:rFonts w:hint="default" w:ascii="Times New Roman" w:hAnsi="Times New Roman" w:eastAsia="方正仿宋_GBK" w:cs="Times New Roman"/>
                <w:snapToGrid/>
                <w:color w:val="auto"/>
                <w:kern w:val="2"/>
                <w:sz w:val="32"/>
                <w:szCs w:val="32"/>
                <w:lang w:val="en-US" w:eastAsia="en-US" w:bidi="ar-SA"/>
              </w:rPr>
              <w:t>精准识别六级以上发震断层，开展重要活动断裂1:1万断层填图，建设综合性地震构造环境探查数据库。</w:t>
            </w:r>
            <w:r>
              <w:rPr>
                <w:rFonts w:hint="default" w:ascii="Times New Roman" w:hAnsi="Times New Roman" w:eastAsia="方正仿宋_GBK" w:cs="Times New Roman"/>
                <w:snapToGrid/>
                <w:color w:val="auto"/>
                <w:kern w:val="2"/>
                <w:sz w:val="32"/>
                <w:szCs w:val="32"/>
                <w:lang w:val="en-US" w:eastAsia="zh-CN" w:bidi="ar-SA"/>
              </w:rPr>
              <w:t>加快推进各县</w:t>
            </w:r>
            <w:r>
              <w:rPr>
                <w:rFonts w:hint="eastAsia" w:ascii="Times New Roman" w:hAnsi="Times New Roman" w:eastAsia="方正仿宋_GBK" w:cs="Times New Roman"/>
                <w:snapToGrid/>
                <w:color w:val="auto"/>
                <w:kern w:val="2"/>
                <w:sz w:val="32"/>
                <w:szCs w:val="32"/>
                <w:lang w:val="en-US" w:eastAsia="zh-CN" w:bidi="ar-SA"/>
              </w:rPr>
              <w:t>（区）</w:t>
            </w:r>
            <w:r>
              <w:rPr>
                <w:rFonts w:hint="default" w:ascii="Times New Roman" w:hAnsi="Times New Roman" w:eastAsia="方正仿宋_GBK" w:cs="Times New Roman"/>
                <w:snapToGrid/>
                <w:color w:val="auto"/>
                <w:kern w:val="2"/>
                <w:sz w:val="32"/>
                <w:szCs w:val="32"/>
                <w:lang w:val="en-US" w:eastAsia="zh-CN" w:bidi="ar-SA"/>
              </w:rPr>
              <w:t>地震灾害损失预评估工作，产出地震灾害风险防范、地震应急准备、地震应急处置等对策分析报告。</w:t>
            </w:r>
            <w:r>
              <w:rPr>
                <w:rFonts w:hint="default" w:ascii="Times New Roman" w:hAnsi="Times New Roman" w:eastAsia="方正仿宋_GBK" w:cs="Times New Roman"/>
                <w:snapToGrid/>
                <w:color w:val="auto"/>
                <w:kern w:val="2"/>
                <w:sz w:val="32"/>
                <w:szCs w:val="32"/>
                <w:lang w:val="en-US" w:eastAsia="en-US" w:bidi="ar-SA"/>
              </w:rPr>
              <w:t>基于城市活断层探测</w:t>
            </w:r>
            <w:r>
              <w:rPr>
                <w:rFonts w:hint="default" w:ascii="Times New Roman" w:hAnsi="Times New Roman" w:eastAsia="方正仿宋_GBK" w:cs="Times New Roman"/>
                <w:snapToGrid/>
                <w:color w:val="auto"/>
                <w:kern w:val="2"/>
                <w:sz w:val="32"/>
                <w:szCs w:val="32"/>
                <w:lang w:val="en-US" w:eastAsia="zh-CN" w:bidi="ar-SA"/>
              </w:rPr>
              <w:t>、</w:t>
            </w:r>
            <w:bookmarkStart w:id="0" w:name="_GoBack"/>
            <w:bookmarkEnd w:id="0"/>
            <w:r>
              <w:rPr>
                <w:rFonts w:hint="default" w:ascii="Times New Roman" w:hAnsi="Times New Roman" w:eastAsia="方正仿宋_GBK" w:cs="Times New Roman"/>
                <w:snapToGrid/>
                <w:color w:val="auto"/>
                <w:kern w:val="2"/>
                <w:sz w:val="32"/>
                <w:szCs w:val="32"/>
                <w:lang w:val="en-US" w:eastAsia="en-US" w:bidi="ar-SA"/>
              </w:rPr>
              <w:t>风险普查、预评估等专项数据</w:t>
            </w:r>
            <w:r>
              <w:rPr>
                <w:rFonts w:hint="eastAsia" w:ascii="Times New Roman" w:hAnsi="Times New Roman" w:eastAsia="方正仿宋_GBK" w:cs="Times New Roman"/>
                <w:snapToGrid/>
                <w:color w:val="auto"/>
                <w:kern w:val="2"/>
                <w:sz w:val="32"/>
                <w:szCs w:val="32"/>
                <w:lang w:val="en-US" w:eastAsia="zh-CN" w:bidi="ar-SA"/>
              </w:rPr>
              <w:t>，以及人口、经济等基础数据、</w:t>
            </w:r>
            <w:r>
              <w:rPr>
                <w:rFonts w:hint="default" w:ascii="Times New Roman" w:hAnsi="Times New Roman" w:eastAsia="方正仿宋_GBK" w:cs="Times New Roman"/>
                <w:snapToGrid/>
                <w:color w:val="auto"/>
                <w:kern w:val="2"/>
                <w:sz w:val="32"/>
                <w:szCs w:val="32"/>
                <w:lang w:val="en-US" w:eastAsia="en-US" w:bidi="ar-SA"/>
              </w:rPr>
              <w:t>地震灾害风险隐患和承灾体数据</w:t>
            </w:r>
            <w:r>
              <w:rPr>
                <w:rFonts w:hint="default" w:ascii="Times New Roman" w:hAnsi="Times New Roman" w:eastAsia="方正仿宋_GBK" w:cs="Times New Roman"/>
                <w:snapToGrid/>
                <w:color w:val="auto"/>
                <w:kern w:val="2"/>
                <w:sz w:val="32"/>
                <w:szCs w:val="32"/>
                <w:lang w:val="en-US" w:eastAsia="zh-CN" w:bidi="ar-SA"/>
              </w:rPr>
              <w:t>，完善宿州市防震减灾智慧化服务系统数据库。</w:t>
            </w:r>
          </w:p>
          <w:p w14:paraId="547E8FC6">
            <w:pPr>
              <w:pStyle w:val="4"/>
              <w:keepNext w:val="0"/>
              <w:keepLines w:val="0"/>
              <w:pageBreakBefore w:val="0"/>
              <w:wordWrap/>
              <w:overflowPunct/>
              <w:topLinePunct w:val="0"/>
              <w:bidi w:val="0"/>
              <w:spacing w:line="600" w:lineRule="exact"/>
              <w:ind w:right="242" w:firstLine="643" w:firstLineChars="200"/>
              <w:jc w:val="both"/>
              <w:outlineLvl w:val="0"/>
              <w:rPr>
                <w:rFonts w:hint="eastAsia"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防震减灾科普基础能力提升工程。</w:t>
            </w:r>
            <w:r>
              <w:rPr>
                <w:rFonts w:hint="eastAsia" w:ascii="Times New Roman" w:hAnsi="Times New Roman" w:eastAsia="方正仿宋_GBK" w:cs="Times New Roman"/>
                <w:snapToGrid/>
                <w:color w:val="auto"/>
                <w:kern w:val="2"/>
                <w:sz w:val="32"/>
                <w:szCs w:val="32"/>
                <w:lang w:val="en-US" w:eastAsia="zh-CN" w:bidi="ar-SA"/>
              </w:rPr>
              <w:t>高标准建设宿州市地震科普馆，打造全省领先的市级防震减灾科普示范标杆；</w:t>
            </w:r>
            <w:r>
              <w:rPr>
                <w:rFonts w:hint="default" w:ascii="Times New Roman" w:hAnsi="Times New Roman" w:eastAsia="方正仿宋_GBK" w:cs="Times New Roman"/>
                <w:snapToGrid/>
                <w:color w:val="auto"/>
                <w:kern w:val="2"/>
                <w:sz w:val="32"/>
                <w:szCs w:val="32"/>
                <w:lang w:val="en-US" w:eastAsia="zh-CN" w:bidi="ar-SA"/>
              </w:rPr>
              <w:t>推动</w:t>
            </w:r>
            <w:r>
              <w:rPr>
                <w:rFonts w:hint="eastAsia" w:ascii="Times New Roman" w:hAnsi="Times New Roman" w:eastAsia="方正仿宋_GBK" w:cs="Times New Roman"/>
                <w:snapToGrid/>
                <w:color w:val="auto"/>
                <w:kern w:val="2"/>
                <w:sz w:val="32"/>
                <w:szCs w:val="32"/>
                <w:lang w:val="en-US" w:eastAsia="zh-CN" w:bidi="ar-SA"/>
              </w:rPr>
              <w:t>各级</w:t>
            </w:r>
            <w:r>
              <w:rPr>
                <w:rFonts w:hint="default" w:ascii="Times New Roman" w:hAnsi="Times New Roman" w:eastAsia="方正仿宋_GBK" w:cs="Times New Roman"/>
                <w:snapToGrid/>
                <w:color w:val="auto"/>
                <w:kern w:val="2"/>
                <w:sz w:val="32"/>
                <w:szCs w:val="32"/>
                <w:lang w:val="en-US" w:eastAsia="zh-CN" w:bidi="ar-SA"/>
              </w:rPr>
              <w:t>各类科技场馆、科普场所等</w:t>
            </w:r>
            <w:r>
              <w:rPr>
                <w:rFonts w:hint="eastAsia" w:ascii="Times New Roman" w:hAnsi="Times New Roman" w:eastAsia="方正仿宋_GBK" w:cs="Times New Roman"/>
                <w:snapToGrid/>
                <w:color w:val="auto"/>
                <w:kern w:val="2"/>
                <w:sz w:val="32"/>
                <w:szCs w:val="32"/>
                <w:lang w:val="en-US" w:eastAsia="zh-CN" w:bidi="ar-SA"/>
              </w:rPr>
              <w:t>有机融入</w:t>
            </w:r>
            <w:r>
              <w:rPr>
                <w:rFonts w:hint="default" w:ascii="Times New Roman" w:hAnsi="Times New Roman" w:eastAsia="方正仿宋_GBK" w:cs="Times New Roman"/>
                <w:snapToGrid/>
                <w:color w:val="auto"/>
                <w:kern w:val="2"/>
                <w:sz w:val="32"/>
                <w:szCs w:val="32"/>
                <w:lang w:val="en-US" w:eastAsia="zh-CN" w:bidi="ar-SA"/>
              </w:rPr>
              <w:t>防震减灾科普内容</w:t>
            </w:r>
            <w:r>
              <w:rPr>
                <w:rFonts w:hint="eastAsia" w:ascii="Times New Roman" w:hAnsi="Times New Roman" w:eastAsia="方正仿宋_GBK" w:cs="Times New Roman"/>
                <w:snapToGrid/>
                <w:color w:val="auto"/>
                <w:kern w:val="2"/>
                <w:sz w:val="32"/>
                <w:szCs w:val="32"/>
                <w:lang w:val="en-US" w:eastAsia="zh-CN" w:bidi="ar-SA"/>
              </w:rPr>
              <w:t>，拓展</w:t>
            </w:r>
            <w:r>
              <w:rPr>
                <w:rFonts w:hint="default" w:ascii="Times New Roman" w:hAnsi="Times New Roman" w:eastAsia="方正仿宋_GBK" w:cs="Times New Roman"/>
                <w:snapToGrid/>
                <w:color w:val="auto"/>
                <w:kern w:val="2"/>
                <w:sz w:val="32"/>
                <w:szCs w:val="32"/>
                <w:lang w:val="en-US" w:eastAsia="zh-CN" w:bidi="ar-SA"/>
              </w:rPr>
              <w:t>防震减灾科普功能</w:t>
            </w:r>
            <w:r>
              <w:rPr>
                <w:rFonts w:hint="eastAsia" w:ascii="Times New Roman" w:hAnsi="Times New Roman" w:eastAsia="方正仿宋_GBK" w:cs="Times New Roman"/>
                <w:snapToGrid/>
                <w:color w:val="auto"/>
                <w:kern w:val="2"/>
                <w:sz w:val="32"/>
                <w:szCs w:val="32"/>
                <w:lang w:val="en-US" w:eastAsia="zh-CN" w:bidi="ar-SA"/>
              </w:rPr>
              <w:t>，持续提升</w:t>
            </w:r>
            <w:r>
              <w:rPr>
                <w:rFonts w:hint="default" w:ascii="Times New Roman" w:hAnsi="Times New Roman" w:eastAsia="方正仿宋_GBK" w:cs="Times New Roman"/>
                <w:snapToGrid/>
                <w:color w:val="auto"/>
                <w:kern w:val="2"/>
                <w:sz w:val="32"/>
                <w:szCs w:val="32"/>
                <w:lang w:val="en-US" w:eastAsia="zh-CN" w:bidi="ar-SA"/>
              </w:rPr>
              <w:t>防震减灾科普服务水平，切实增强公众地震应急避险意识、自救互救技能和综合应对能力。</w:t>
            </w:r>
          </w:p>
        </w:tc>
      </w:tr>
    </w:tbl>
    <w:p w14:paraId="082D0FD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Times New Roman"/>
          <w:snapToGrid/>
          <w:color w:val="auto"/>
          <w:kern w:val="2"/>
          <w:sz w:val="32"/>
          <w:szCs w:val="32"/>
          <w:highlight w:val="none"/>
          <w:lang w:val="en-US" w:eastAsia="zh-CN"/>
        </w:rPr>
      </w:pPr>
    </w:p>
    <w:p w14:paraId="2EDCAC4D">
      <w:pPr>
        <w:keepNext w:val="0"/>
        <w:keepLines w:val="0"/>
        <w:pageBreakBefore w:val="0"/>
        <w:wordWrap/>
        <w:overflowPunct/>
        <w:topLinePunct w:val="0"/>
        <w:bidi w:val="0"/>
        <w:spacing w:line="600" w:lineRule="exact"/>
        <w:ind w:firstLine="644" w:firstLineChars="200"/>
        <w:outlineLvl w:val="0"/>
        <w:rPr>
          <w:rFonts w:hint="default" w:ascii="黑体" w:hAnsi="黑体" w:eastAsia="黑体" w:cs="黑体"/>
          <w:spacing w:val="6"/>
          <w:sz w:val="31"/>
          <w:szCs w:val="31"/>
        </w:rPr>
      </w:pPr>
      <w:r>
        <w:rPr>
          <w:rFonts w:hint="default" w:ascii="黑体" w:hAnsi="黑体" w:eastAsia="黑体" w:cs="黑体"/>
          <w:spacing w:val="6"/>
          <w:sz w:val="31"/>
          <w:szCs w:val="31"/>
        </w:rPr>
        <w:t>六、保障措施</w:t>
      </w:r>
    </w:p>
    <w:p w14:paraId="71E60BF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color w:val="auto"/>
          <w:kern w:val="2"/>
          <w:sz w:val="32"/>
          <w:szCs w:val="32"/>
          <w:highlight w:val="none"/>
          <w:lang w:val="en-US" w:eastAsia="zh-CN"/>
        </w:rPr>
      </w:pPr>
      <w:r>
        <w:rPr>
          <w:rFonts w:hint="eastAsia" w:ascii="方正楷体_GBK" w:hAnsi="方正楷体_GBK" w:eastAsia="方正楷体_GBK" w:cs="方正楷体_GBK"/>
          <w:snapToGrid/>
          <w:color w:val="auto"/>
          <w:kern w:val="2"/>
          <w:sz w:val="32"/>
          <w:szCs w:val="32"/>
          <w:highlight w:val="none"/>
          <w:lang w:val="en-US" w:eastAsia="zh-CN"/>
        </w:rPr>
        <w:t>（一）加强组织领导</w:t>
      </w:r>
    </w:p>
    <w:p w14:paraId="694CBF2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坚持党对防震减灾工作的全面领导，将防震减灾任务纳入市县国民经济和社会发展规划，充分发挥防震减灾相关部门和行业单位的作用，强化规划组织实施，完善目标导向管理机制，明确重点任务、工作责任和实施进度，优化人员结构，改善工作条件，确保防震减灾工作落到实处。</w:t>
      </w:r>
    </w:p>
    <w:p w14:paraId="551DF45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snapToGrid/>
          <w:color w:val="auto"/>
          <w:kern w:val="2"/>
          <w:sz w:val="32"/>
          <w:szCs w:val="32"/>
          <w:highlight w:val="none"/>
          <w:lang w:val="en-US" w:eastAsia="zh-CN"/>
        </w:rPr>
      </w:pPr>
      <w:r>
        <w:rPr>
          <w:rFonts w:hint="default" w:ascii="方正楷体_GBK" w:hAnsi="方正楷体_GBK" w:eastAsia="方正楷体_GBK" w:cs="方正楷体_GBK"/>
          <w:snapToGrid/>
          <w:color w:val="auto"/>
          <w:kern w:val="2"/>
          <w:sz w:val="32"/>
          <w:szCs w:val="32"/>
          <w:highlight w:val="none"/>
          <w:lang w:val="en-US" w:eastAsia="zh-CN"/>
        </w:rPr>
        <w:t>（二）健全投入机制</w:t>
      </w:r>
    </w:p>
    <w:p w14:paraId="2F09542C">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坚持和完善双重计划财务管理体制，健全与经济社会发展水平、财力相适应的各级财政投入机制。地震重点监视防御区和地震重点危险区的市县两级要完善经费保障机制，做好防震减灾重点工程项目建设、科学研究、科普宣传、人才培养等方面的经费保障，加强资金使用监督和管理。拓宽经费投入渠道，注重发挥市场机制和社会力量作用，充分发挥自然灾害保险效能，逐步形成多层次地震巨灾风险分担机制。</w:t>
      </w:r>
    </w:p>
    <w:p w14:paraId="79B88694">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snapToGrid/>
          <w:color w:val="auto"/>
          <w:kern w:val="2"/>
          <w:sz w:val="32"/>
          <w:szCs w:val="32"/>
          <w:highlight w:val="none"/>
          <w:lang w:val="en-US" w:eastAsia="zh-CN"/>
        </w:rPr>
      </w:pPr>
      <w:r>
        <w:rPr>
          <w:rFonts w:hint="default" w:ascii="方正楷体_GBK" w:hAnsi="方正楷体_GBK" w:eastAsia="方正楷体_GBK" w:cs="方正楷体_GBK"/>
          <w:snapToGrid/>
          <w:color w:val="auto"/>
          <w:kern w:val="2"/>
          <w:sz w:val="32"/>
          <w:szCs w:val="32"/>
          <w:highlight w:val="none"/>
          <w:lang w:val="en-US" w:eastAsia="zh-CN"/>
        </w:rPr>
        <w:t>（三）强化人才支撑</w:t>
      </w:r>
    </w:p>
    <w:p w14:paraId="31CCD24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加强全市基层防震减灾人才队伍建设，实施“宿震英才”培育计划，重点加强县（区）、乡镇（街道）基层防震减灾队伍建设。深化与宿州学院、宿州职业技术学院等本地高校的合作，探索联合开展地震监测预警、灾害风险评估等领域的课程建设与教学资源开发，定向培养“懂技术、会应急、能扎根”的基层技术骨干。深化与安徽省地震局、蚌埠地震监测中心站的协同联动，选派基层业务骨干赴省级平台跟岗实训，参与郯庐断裂带探查、地震预警技术攻关等重大项目，提升实战能力，为宿州地震灾害风险防治现代化提供强有力智力支撑。</w:t>
      </w:r>
    </w:p>
    <w:p w14:paraId="1BA1DDD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snapToGrid/>
          <w:color w:val="auto"/>
          <w:kern w:val="2"/>
          <w:sz w:val="32"/>
          <w:szCs w:val="32"/>
          <w:highlight w:val="none"/>
          <w:lang w:val="en-US" w:eastAsia="zh-CN"/>
        </w:rPr>
      </w:pPr>
      <w:r>
        <w:rPr>
          <w:rFonts w:hint="default" w:ascii="方正楷体_GBK" w:hAnsi="方正楷体_GBK" w:eastAsia="方正楷体_GBK" w:cs="方正楷体_GBK"/>
          <w:snapToGrid/>
          <w:color w:val="auto"/>
          <w:kern w:val="2"/>
          <w:sz w:val="32"/>
          <w:szCs w:val="32"/>
          <w:highlight w:val="none"/>
          <w:lang w:val="en-US" w:eastAsia="zh-CN"/>
        </w:rPr>
        <w:t>（四）建立评估制度</w:t>
      </w:r>
    </w:p>
    <w:p w14:paraId="6CF76BE4">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snapToGrid/>
          <w:color w:val="auto"/>
          <w:kern w:val="2"/>
          <w:sz w:val="32"/>
          <w:szCs w:val="32"/>
          <w:highlight w:val="none"/>
          <w:lang w:val="en-US" w:eastAsia="zh-CN"/>
        </w:rPr>
      </w:pPr>
      <w:r>
        <w:rPr>
          <w:rFonts w:hint="default" w:ascii="Times New Roman" w:hAnsi="Times New Roman" w:eastAsia="方正仿宋_GBK" w:cs="Times New Roman"/>
          <w:snapToGrid/>
          <w:color w:val="auto"/>
          <w:kern w:val="2"/>
          <w:sz w:val="32"/>
          <w:szCs w:val="32"/>
          <w:highlight w:val="none"/>
          <w:lang w:val="en-US" w:eastAsia="zh-CN"/>
        </w:rPr>
        <w:t>建立健全规划实施评估机制，完善评估流程。鼓励更多政策评估资源参与，加强对规划实施情况的跟踪分析。建立规划实施评估考核机制，对规划实施情况进行年度动态监测和全面评估，重点对规划目标指标、主要任务、重大举措和重大工程的落实情况进行评估总结。2028年组织开展规划实施中期评估，2030年完成规划实施终期成效评估。</w:t>
      </w:r>
    </w:p>
    <w:sectPr>
      <w:footerReference r:id="rId6" w:type="default"/>
      <w:pgSz w:w="11906" w:h="16839"/>
      <w:pgMar w:top="1431" w:right="1423" w:bottom="1377" w:left="1590"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76CF4C-1B16-42C1-A48E-A172E06A7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embedRegular r:id="rId2" w:fontKey="{B5A2ACBD-B2BE-4071-8B2B-AC87480731AD}"/>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11F54BA4-6AD0-4D80-A023-2FEC1B30394B}"/>
  </w:font>
  <w:font w:name="方正小标宋_GBK">
    <w:panose1 w:val="03000509000000000000"/>
    <w:charset w:val="86"/>
    <w:family w:val="auto"/>
    <w:pitch w:val="default"/>
    <w:sig w:usb0="00000001" w:usb1="080E0000" w:usb2="00000000" w:usb3="00000000" w:csb0="00040000" w:csb1="00000000"/>
    <w:embedRegular r:id="rId4" w:fontKey="{A78CDA5D-2F53-415A-A4EA-073673C1D84D}"/>
  </w:font>
  <w:font w:name="方正楷体_GBK">
    <w:panose1 w:val="03000509000000000000"/>
    <w:charset w:val="86"/>
    <w:family w:val="auto"/>
    <w:pitch w:val="default"/>
    <w:sig w:usb0="00000001" w:usb1="080E0000" w:usb2="00000000" w:usb3="00000000" w:csb0="00040000" w:csb1="00000000"/>
    <w:embedRegular r:id="rId5" w:fontKey="{79E9D263-BC8E-4DEB-AB50-0A129EFFA78D}"/>
  </w:font>
  <w:font w:name="方正仿宋_GBK">
    <w:panose1 w:val="03000509000000000000"/>
    <w:charset w:val="86"/>
    <w:family w:val="auto"/>
    <w:pitch w:val="default"/>
    <w:sig w:usb0="00000001" w:usb1="080E0000" w:usb2="00000000" w:usb3="00000000" w:csb0="00040000" w:csb1="00000000"/>
    <w:embedRegular r:id="rId6" w:fontKey="{D6F30039-5023-4617-AF2B-9C4DC068F0B1}"/>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6637">
    <w:pPr>
      <w:pStyle w:val="4"/>
      <w:spacing w:before="1" w:line="241" w:lineRule="auto"/>
      <w:ind w:right="38"/>
      <w:jc w:val="right"/>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07AE7">
                          <w:pPr>
                            <w:pStyle w:val="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07AE7">
                    <w:pPr>
                      <w:pStyle w:val="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1DD6">
    <w:pPr>
      <w:widowControl w:val="0"/>
      <w:kinsoku w:val="0"/>
      <w:autoSpaceDE w:val="0"/>
      <w:autoSpaceDN w:val="0"/>
      <w:adjustRightInd w:val="0"/>
      <w:snapToGrid w:val="0"/>
      <w:spacing w:before="1" w:line="241" w:lineRule="auto"/>
      <w:jc w:val="right"/>
      <w:textAlignment w:val="baseline"/>
      <w:rPr>
        <w:rFonts w:ascii="FangSong_GB2312" w:hAnsi="FangSong_GB2312" w:eastAsia="FangSong_GB2312" w:cs="FangSong_GB2312"/>
        <w:snapToGrid w:val="0"/>
        <w:color w:val="000000"/>
        <w:kern w:val="0"/>
        <w:sz w:val="31"/>
        <w:szCs w:val="31"/>
        <w:lang w:val="en-US" w:eastAsia="en-US" w:bidi="ar-SA"/>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F2105">
                          <w:pPr>
                            <w:pStyle w:val="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6F2105">
                    <w:pPr>
                      <w:pStyle w:val="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FF1FD5"/>
    <w:rsid w:val="012869F1"/>
    <w:rsid w:val="026C6D7F"/>
    <w:rsid w:val="03095B3C"/>
    <w:rsid w:val="03D473A4"/>
    <w:rsid w:val="04412B98"/>
    <w:rsid w:val="06640499"/>
    <w:rsid w:val="06A01251"/>
    <w:rsid w:val="0B8D1804"/>
    <w:rsid w:val="0BD15BF5"/>
    <w:rsid w:val="0DAE7E2E"/>
    <w:rsid w:val="0DCA1013"/>
    <w:rsid w:val="0F07217E"/>
    <w:rsid w:val="1103092E"/>
    <w:rsid w:val="13D20E7D"/>
    <w:rsid w:val="14452688"/>
    <w:rsid w:val="15B775B9"/>
    <w:rsid w:val="16700FDB"/>
    <w:rsid w:val="178C4612"/>
    <w:rsid w:val="17CE6B8F"/>
    <w:rsid w:val="1847673B"/>
    <w:rsid w:val="19204B0E"/>
    <w:rsid w:val="1A044D03"/>
    <w:rsid w:val="1E686B39"/>
    <w:rsid w:val="2214761C"/>
    <w:rsid w:val="22FF605E"/>
    <w:rsid w:val="254D7B4C"/>
    <w:rsid w:val="25A32734"/>
    <w:rsid w:val="280B47C0"/>
    <w:rsid w:val="288D6933"/>
    <w:rsid w:val="29323379"/>
    <w:rsid w:val="2AE03DBC"/>
    <w:rsid w:val="2B3134B1"/>
    <w:rsid w:val="2DFE6127"/>
    <w:rsid w:val="2ED73F33"/>
    <w:rsid w:val="2F2F34FA"/>
    <w:rsid w:val="309B3E36"/>
    <w:rsid w:val="32E83DD4"/>
    <w:rsid w:val="33317215"/>
    <w:rsid w:val="33520FFC"/>
    <w:rsid w:val="366324DB"/>
    <w:rsid w:val="37BC060F"/>
    <w:rsid w:val="3C3A7EFF"/>
    <w:rsid w:val="3E147CE0"/>
    <w:rsid w:val="3E6F529B"/>
    <w:rsid w:val="3FED73CA"/>
    <w:rsid w:val="403C77B5"/>
    <w:rsid w:val="45A73A57"/>
    <w:rsid w:val="48323769"/>
    <w:rsid w:val="49314E3B"/>
    <w:rsid w:val="49CD19D2"/>
    <w:rsid w:val="4A1A2EA4"/>
    <w:rsid w:val="4A6738FF"/>
    <w:rsid w:val="4A93210D"/>
    <w:rsid w:val="4C3A0FAF"/>
    <w:rsid w:val="4CDA163E"/>
    <w:rsid w:val="530F7BB9"/>
    <w:rsid w:val="53F220E4"/>
    <w:rsid w:val="552D54C7"/>
    <w:rsid w:val="57635E42"/>
    <w:rsid w:val="5C0358F0"/>
    <w:rsid w:val="5D071E5D"/>
    <w:rsid w:val="5EDD658D"/>
    <w:rsid w:val="5EE72B8A"/>
    <w:rsid w:val="62B9499E"/>
    <w:rsid w:val="647E5D3F"/>
    <w:rsid w:val="64AF7CA6"/>
    <w:rsid w:val="6A073B8B"/>
    <w:rsid w:val="6C2048C2"/>
    <w:rsid w:val="6D9451CC"/>
    <w:rsid w:val="6E82642B"/>
    <w:rsid w:val="71B33DE5"/>
    <w:rsid w:val="71BE46C2"/>
    <w:rsid w:val="729044BB"/>
    <w:rsid w:val="741554DA"/>
    <w:rsid w:val="768865A9"/>
    <w:rsid w:val="77427BFC"/>
    <w:rsid w:val="77F73860"/>
    <w:rsid w:val="79175E7D"/>
    <w:rsid w:val="796C4DDB"/>
    <w:rsid w:val="79AA5C12"/>
    <w:rsid w:val="7B5E5A7B"/>
    <w:rsid w:val="7D07678C"/>
    <w:rsid w:val="7E012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paragraph" w:customStyle="1" w:styleId="21">
    <w:name w:val="仿宋正文"/>
    <w:qFormat/>
    <w:uiPriority w:val="0"/>
    <w:pPr>
      <w:widowControl w:val="0"/>
      <w:spacing w:line="600" w:lineRule="exact"/>
      <w:ind w:firstLine="420" w:firstLineChars="200"/>
      <w:jc w:val="both"/>
    </w:pPr>
    <w:rPr>
      <w:rFonts w:ascii="Times New Roman" w:hAnsi="Times New Roman" w:eastAsia="方正仿宋简体" w:cs="Times New Roman"/>
      <w:kern w:val="0"/>
      <w:sz w:val="32"/>
      <w:szCs w:val="3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24">
    <w:name w:val="layui-laypage-curr"/>
    <w:basedOn w:val="9"/>
    <w:qFormat/>
    <w:uiPriority w:val="0"/>
  </w:style>
  <w:style w:type="character" w:customStyle="1" w:styleId="25">
    <w:name w:val="layui-this4"/>
    <w:basedOn w:val="9"/>
    <w:qFormat/>
    <w:uiPriority w:val="0"/>
    <w:rPr>
      <w:bdr w:val="single" w:color="EEEEEE" w:sz="4" w:space="0"/>
      <w:shd w:val="clear" w:fill="FFFFFF"/>
    </w:rPr>
  </w:style>
  <w:style w:type="character" w:customStyle="1" w:styleId="26">
    <w:name w:val="first-child"/>
    <w:basedOn w:val="9"/>
    <w:qFormat/>
    <w:uiPriority w:val="0"/>
  </w:style>
  <w:style w:type="character" w:customStyle="1" w:styleId="27">
    <w:name w:val="hover14"/>
    <w:basedOn w:val="9"/>
    <w:qFormat/>
    <w:uiPriority w:val="0"/>
    <w:rPr>
      <w:color w:val="FFFFFF"/>
    </w:rPr>
  </w:style>
  <w:style w:type="character" w:customStyle="1" w:styleId="28">
    <w:name w:val="hover15"/>
    <w:basedOn w:val="9"/>
    <w:qFormat/>
    <w:uiPriority w:val="0"/>
    <w:rPr>
      <w:color w:val="5FB878"/>
    </w:rPr>
  </w:style>
  <w:style w:type="character" w:customStyle="1" w:styleId="29">
    <w:name w:val="hover16"/>
    <w:basedOn w:val="9"/>
    <w:qFormat/>
    <w:uiPriority w:val="0"/>
    <w:rPr>
      <w:color w:val="5FB878"/>
    </w:rPr>
  </w:style>
  <w:style w:type="character" w:customStyle="1" w:styleId="30">
    <w:name w:val="last-child2"/>
    <w:basedOn w:val="9"/>
    <w:qFormat/>
    <w:uiPriority w:val="0"/>
  </w:style>
  <w:style w:type="character" w:customStyle="1" w:styleId="31">
    <w:name w:val="layui-laydate-preview"/>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8735</Words>
  <Characters>8832</Characters>
  <TotalTime>41</TotalTime>
  <ScaleCrop>false</ScaleCrop>
  <LinksUpToDate>false</LinksUpToDate>
  <CharactersWithSpaces>8843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2025-05-19T10:24:00Z</dcterms:created>
  <dc:creator>chan jun</dc:creator>
  <cp:lastModifiedBy>szsdzj</cp:lastModifiedBy>
  <cp:lastPrinted>2026-05-06T08:47:00Z</cp:lastPrinted>
  <dcterms:modified xsi:type="dcterms:W3CDTF">2026-05-08T01:55:11Z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2025-06-18T14:49:29Z</vt:filetime>
  </property>
  <property fmtid="{D5CDD505-2E9C-101B-9397-08002B2CF9AE}" pid="4" name="KSOTemplateDocerSaveRecord">
    <vt:lpwstr>eyJoZGlkIjoiYWZiYmQ2NWZkZGUxMzFmYWU2NzBlZDFjYjg5MDk0YTMiLCJ1c2VySWQiOiI0MTcxODAzNjUifQ==</vt:lpwstr>
  </property>
  <property fmtid="{D5CDD505-2E9C-101B-9397-08002B2CF9AE}" pid="5" name="KSOProductBuildVer">
    <vt:lpwstr>2052-12.1.0.25865</vt:lpwstr>
  </property>
  <property fmtid="{D5CDD505-2E9C-101B-9397-08002B2CF9AE}" pid="6" name="ICV">
    <vt:lpwstr>60E98A1F3C4C42009934BF7924D3779A_13</vt:lpwstr>
  </property>
</Properties>
</file>