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9D727">
      <w:pPr>
        <w:pStyle w:val="12"/>
        <w:kinsoku w:val="0"/>
        <w:overflowPunct w:val="0"/>
        <w:spacing w:line="240" w:lineRule="auto"/>
        <w:ind w:left="87" w:right="1186"/>
        <w:outlineLvl w:val="9"/>
        <w:rPr>
          <w:rFonts w:hint="eastAsia" w:ascii="方正小标宋_GBK" w:hAnsi="方正小标宋_GBK" w:eastAsia="方正小标宋_GBK" w:cs="方正小标宋_GBK"/>
          <w:sz w:val="44"/>
          <w:szCs w:val="44"/>
        </w:rPr>
      </w:pPr>
    </w:p>
    <w:p w14:paraId="4353867B">
      <w:pPr>
        <w:pStyle w:val="12"/>
        <w:kinsoku w:val="0"/>
        <w:overflowPunct w:val="0"/>
        <w:spacing w:line="240" w:lineRule="auto"/>
        <w:ind w:left="87" w:right="1186"/>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项目支出绩效评价报告</w:t>
      </w:r>
    </w:p>
    <w:p w14:paraId="6FC82408">
      <w:pPr>
        <w:pStyle w:val="12"/>
        <w:kinsoku w:val="0"/>
        <w:overflowPunct w:val="0"/>
        <w:spacing w:line="240" w:lineRule="auto"/>
        <w:ind w:left="87" w:right="1186"/>
        <w:outlineLvl w:val="9"/>
        <w:rPr>
          <w:rFonts w:hint="eastAsia" w:ascii="方正小标宋_GBK" w:hAnsi="方正小标宋_GBK" w:eastAsia="方正小标宋_GBK" w:cs="方正小标宋_GBK"/>
          <w:sz w:val="44"/>
          <w:szCs w:val="44"/>
        </w:rPr>
      </w:pPr>
    </w:p>
    <w:p w14:paraId="259FE216">
      <w:pPr>
        <w:pStyle w:val="3"/>
        <w:kinsoku w:val="0"/>
        <w:overflowPunct w:val="0"/>
        <w:spacing w:before="1"/>
        <w:ind w:left="89" w:right="1186"/>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地震监测</w:t>
      </w:r>
      <w:r>
        <w:rPr>
          <w:rFonts w:hint="eastAsia" w:ascii="方正小标宋_GBK" w:hAnsi="方正小标宋_GBK" w:eastAsia="方正小标宋_GBK" w:cs="方正小标宋_GBK"/>
          <w:sz w:val="44"/>
          <w:szCs w:val="44"/>
        </w:rPr>
        <w:t>经费项目支出绩效评价报告</w:t>
      </w:r>
    </w:p>
    <w:p w14:paraId="51BC7BEE">
      <w:pPr>
        <w:spacing w:line="560" w:lineRule="exact"/>
        <w:ind w:firstLine="600"/>
        <w:rPr>
          <w:rFonts w:hint="eastAsia" w:ascii="方正小标宋_GBK" w:hAnsi="方正小标宋_GBK" w:eastAsia="方正小标宋_GBK" w:cs="方正小标宋_GBK"/>
          <w:sz w:val="44"/>
          <w:szCs w:val="44"/>
        </w:rPr>
      </w:pPr>
    </w:p>
    <w:p w14:paraId="47FBEF20">
      <w:pPr>
        <w:spacing w:line="560" w:lineRule="exact"/>
        <w:ind w:firstLine="600"/>
        <w:rPr>
          <w:rFonts w:hint="default" w:ascii="Times New Roman" w:hAnsi="Times New Roman" w:eastAsia="方正仿宋_GBK" w:cs="Times New Roman"/>
          <w:sz w:val="32"/>
          <w:szCs w:val="32"/>
        </w:rPr>
      </w:pPr>
    </w:p>
    <w:p w14:paraId="3C3EC464">
      <w:pPr>
        <w:spacing w:line="560" w:lineRule="exact"/>
        <w:ind w:firstLine="600"/>
        <w:rPr>
          <w:rFonts w:hint="default" w:ascii="Times New Roman" w:hAnsi="Times New Roman" w:eastAsia="方正仿宋_GBK" w:cs="Times New Roman"/>
          <w:sz w:val="32"/>
          <w:szCs w:val="32"/>
        </w:rPr>
      </w:pPr>
    </w:p>
    <w:p w14:paraId="191C7A70">
      <w:pPr>
        <w:spacing w:line="560" w:lineRule="exact"/>
        <w:ind w:firstLine="600"/>
        <w:rPr>
          <w:rFonts w:hint="default" w:ascii="Times New Roman" w:hAnsi="Times New Roman" w:eastAsia="方正仿宋_GBK" w:cs="Times New Roman"/>
          <w:sz w:val="32"/>
          <w:szCs w:val="32"/>
        </w:rPr>
      </w:pPr>
    </w:p>
    <w:p w14:paraId="54235A65">
      <w:pPr>
        <w:spacing w:line="560" w:lineRule="exact"/>
        <w:ind w:firstLine="600"/>
        <w:rPr>
          <w:rFonts w:hint="default" w:ascii="Times New Roman" w:hAnsi="Times New Roman" w:eastAsia="方正仿宋_GBK" w:cs="Times New Roman"/>
          <w:sz w:val="32"/>
          <w:szCs w:val="32"/>
        </w:rPr>
      </w:pPr>
    </w:p>
    <w:p w14:paraId="2BB1185D">
      <w:pPr>
        <w:spacing w:line="560" w:lineRule="exact"/>
        <w:ind w:firstLine="600"/>
        <w:rPr>
          <w:rFonts w:hint="default" w:ascii="Times New Roman" w:hAnsi="Times New Roman" w:eastAsia="方正仿宋_GBK" w:cs="Times New Roman"/>
          <w:sz w:val="32"/>
          <w:szCs w:val="32"/>
        </w:rPr>
      </w:pPr>
    </w:p>
    <w:p w14:paraId="6F677AFB">
      <w:pPr>
        <w:spacing w:line="560" w:lineRule="exact"/>
        <w:ind w:firstLine="600"/>
        <w:rPr>
          <w:rFonts w:hint="default" w:ascii="Times New Roman" w:hAnsi="Times New Roman" w:eastAsia="方正仿宋_GBK" w:cs="Times New Roman"/>
          <w:sz w:val="32"/>
          <w:szCs w:val="32"/>
        </w:rPr>
      </w:pPr>
    </w:p>
    <w:p w14:paraId="6A7C26CC">
      <w:pPr>
        <w:spacing w:line="560" w:lineRule="exact"/>
        <w:ind w:firstLine="600"/>
        <w:rPr>
          <w:rFonts w:hint="default" w:ascii="Times New Roman" w:hAnsi="Times New Roman" w:eastAsia="方正仿宋_GBK" w:cs="Times New Roman"/>
          <w:sz w:val="32"/>
          <w:szCs w:val="32"/>
        </w:rPr>
      </w:pPr>
    </w:p>
    <w:p w14:paraId="3489EF95">
      <w:pPr>
        <w:spacing w:line="560" w:lineRule="exact"/>
        <w:ind w:firstLine="600"/>
        <w:rPr>
          <w:rFonts w:hint="default" w:ascii="Times New Roman" w:hAnsi="Times New Roman" w:eastAsia="方正仿宋_GBK" w:cs="Times New Roman"/>
          <w:sz w:val="32"/>
          <w:szCs w:val="32"/>
        </w:rPr>
      </w:pPr>
    </w:p>
    <w:p w14:paraId="7430DB81">
      <w:pPr>
        <w:spacing w:line="560" w:lineRule="exact"/>
        <w:ind w:firstLine="600"/>
        <w:rPr>
          <w:rFonts w:hint="default" w:ascii="Times New Roman" w:hAnsi="Times New Roman" w:eastAsia="方正仿宋_GBK" w:cs="Times New Roman"/>
          <w:sz w:val="32"/>
          <w:szCs w:val="32"/>
        </w:rPr>
      </w:pPr>
    </w:p>
    <w:p w14:paraId="41F7AFED">
      <w:pPr>
        <w:spacing w:line="560" w:lineRule="exact"/>
        <w:ind w:firstLine="600"/>
        <w:rPr>
          <w:rFonts w:hint="default" w:ascii="Times New Roman" w:hAnsi="Times New Roman" w:eastAsia="方正仿宋_GBK" w:cs="Times New Roman"/>
          <w:sz w:val="32"/>
          <w:szCs w:val="32"/>
        </w:rPr>
      </w:pPr>
    </w:p>
    <w:p w14:paraId="11D63EFF">
      <w:pPr>
        <w:pStyle w:val="3"/>
        <w:kinsoku w:val="0"/>
        <w:overflowPunct w:val="0"/>
        <w:spacing w:before="1"/>
        <w:ind w:left="89" w:right="1183"/>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eastAsia="方正仿宋_GBK" w:cs="Times New Roman"/>
          <w:sz w:val="32"/>
          <w:szCs w:val="32"/>
          <w:lang w:val="en-US" w:eastAsia="zh-CN"/>
        </w:rPr>
        <w:t>8</w:t>
      </w:r>
      <w:bookmarkStart w:id="12" w:name="_GoBack"/>
      <w:bookmarkEnd w:id="12"/>
      <w:r>
        <w:rPr>
          <w:rFonts w:hint="default" w:ascii="Times New Roman" w:hAnsi="Times New Roman" w:eastAsia="方正仿宋_GBK" w:cs="Times New Roman"/>
          <w:sz w:val="32"/>
          <w:szCs w:val="32"/>
        </w:rPr>
        <w:t>月</w:t>
      </w:r>
    </w:p>
    <w:p w14:paraId="0B00DE9F">
      <w:pPr>
        <w:autoSpaceDE/>
        <w:autoSpaceDN/>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3D1BDAA5">
      <w:pPr>
        <w:pStyle w:val="3"/>
        <w:kinsoku w:val="0"/>
        <w:overflowPunct w:val="0"/>
        <w:spacing w:before="10"/>
        <w:rPr>
          <w:rFonts w:hint="default" w:ascii="Times New Roman" w:hAnsi="Times New Roman" w:eastAsia="方正仿宋_GBK" w:cs="Times New Roman"/>
          <w:sz w:val="32"/>
          <w:szCs w:val="32"/>
        </w:rPr>
      </w:pPr>
    </w:p>
    <w:p w14:paraId="41FFC436">
      <w:pPr>
        <w:pStyle w:val="12"/>
        <w:tabs>
          <w:tab w:val="left" w:pos="880"/>
        </w:tabs>
        <w:kinsoku w:val="0"/>
        <w:overflowPunct w:val="0"/>
        <w:ind w:right="2"/>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录</w:t>
      </w:r>
    </w:p>
    <w:p w14:paraId="06DFDD36">
      <w:pPr>
        <w:pStyle w:val="3"/>
        <w:kinsoku w:val="0"/>
        <w:overflowPunct w:val="0"/>
        <w:spacing w:before="8"/>
        <w:rPr>
          <w:rFonts w:hint="default" w:ascii="Times New Roman" w:hAnsi="Times New Roman" w:eastAsia="方正仿宋_GBK" w:cs="Times New Roman"/>
          <w:sz w:val="32"/>
          <w:szCs w:val="32"/>
        </w:rPr>
      </w:pPr>
    </w:p>
    <w:p w14:paraId="49610745">
      <w:pPr>
        <w:pStyle w:val="6"/>
        <w:tabs>
          <w:tab w:val="left" w:pos="630"/>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"_Toc75514990"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sz w:val="32"/>
          <w:szCs w:val="32"/>
        </w:rPr>
        <w:t>摘</w:t>
      </w:r>
      <w:r>
        <w:rPr>
          <w:rFonts w:hint="default" w:ascii="Times New Roman" w:hAnsi="Times New Roman" w:eastAsia="方正仿宋_GBK" w:cs="Times New Roman"/>
          <w:kern w:val="2"/>
          <w:sz w:val="32"/>
          <w:szCs w:val="32"/>
        </w:rPr>
        <w:tab/>
      </w:r>
      <w:r>
        <w:rPr>
          <w:rStyle w:val="9"/>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71B45053">
      <w:pPr>
        <w:pStyle w:val="6"/>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"_Toc75514991"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sz w:val="32"/>
          <w:szCs w:val="32"/>
        </w:rPr>
        <w:t>一、项目基本情况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7C60794A">
      <w:pPr>
        <w:pStyle w:val="6"/>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"_Toc75514992"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sz w:val="32"/>
          <w:szCs w:val="32"/>
        </w:rPr>
        <w:t>二、绩效评价工作开展情况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03538D57">
      <w:pPr>
        <w:pStyle w:val="6"/>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"_Toc75514993"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sz w:val="32"/>
          <w:szCs w:val="32"/>
        </w:rPr>
        <w:t>三、综合评价情况及评价结论（附相关评分表）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7575B0A0">
      <w:pPr>
        <w:pStyle w:val="6"/>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"_Toc75514994"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sz w:val="32"/>
          <w:szCs w:val="32"/>
        </w:rPr>
        <w:t>四、绩效评价指标分析（可附表进行分析）</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_Toc75514994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3B32878">
      <w:pPr>
        <w:pStyle w:val="6"/>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"_Toc75514995"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sz w:val="32"/>
          <w:szCs w:val="32"/>
        </w:rPr>
        <w:t>五、主要经验及做法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CC4071C">
      <w:pPr>
        <w:pStyle w:val="6"/>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"_Toc75514996"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sz w:val="32"/>
          <w:szCs w:val="32"/>
        </w:rPr>
        <w:t>六、存在问题及原因分析</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595B8C6B">
      <w:pPr>
        <w:pStyle w:val="6"/>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"_Toc75514997"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sz w:val="32"/>
          <w:szCs w:val="32"/>
        </w:rPr>
        <w:t>七、有关建议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709367D3">
      <w:pPr>
        <w:pStyle w:val="6"/>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"_Toc75514998"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sz w:val="32"/>
          <w:szCs w:val="32"/>
        </w:rPr>
        <w:t>八、其他需要说明的问题</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6481562B">
      <w:pPr>
        <w:pStyle w:val="6"/>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"_Toc75514999" </w:instrText>
      </w:r>
      <w:r>
        <w:rPr>
          <w:rFonts w:hint="default" w:ascii="Times New Roman" w:hAnsi="Times New Roman" w:eastAsia="方正仿宋_GBK" w:cs="Times New Roman"/>
          <w:sz w:val="32"/>
          <w:szCs w:val="32"/>
        </w:rPr>
        <w:fldChar w:fldCharType="separate"/>
      </w:r>
      <w:r>
        <w:rPr>
          <w:rStyle w:val="9"/>
          <w:rFonts w:hint="default" w:ascii="Times New Roman" w:hAnsi="Times New Roman" w:eastAsia="方正仿宋_GBK" w:cs="Times New Roman"/>
          <w:w w:val="95"/>
          <w:sz w:val="32"/>
          <w:szCs w:val="32"/>
        </w:rPr>
        <w:t>附件：</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_Toc75514999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157E2DF8">
      <w:pPr>
        <w:pStyle w:val="3"/>
        <w:kinsoku w:val="0"/>
        <w:overflowPunct w:val="0"/>
        <w:spacing w:before="8"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end"/>
      </w:r>
    </w:p>
    <w:p w14:paraId="7B3166C5">
      <w:pPr>
        <w:pStyle w:val="3"/>
        <w:kinsoku w:val="0"/>
        <w:overflowPunct w:val="0"/>
        <w:spacing w:before="8"/>
        <w:rPr>
          <w:rFonts w:hint="default" w:ascii="Times New Roman" w:hAnsi="Times New Roman" w:eastAsia="方正仿宋_GBK" w:cs="Times New Roman"/>
          <w:sz w:val="32"/>
          <w:szCs w:val="32"/>
        </w:rPr>
      </w:pPr>
    </w:p>
    <w:p w14:paraId="0075BE82">
      <w:pPr>
        <w:pStyle w:val="3"/>
        <w:kinsoku w:val="0"/>
        <w:overflowPunct w:val="0"/>
        <w:spacing w:before="8"/>
        <w:rPr>
          <w:rFonts w:hint="default" w:ascii="Times New Roman" w:hAnsi="Times New Roman" w:eastAsia="方正仿宋_GBK" w:cs="Times New Roman"/>
          <w:sz w:val="32"/>
          <w:szCs w:val="32"/>
        </w:rPr>
      </w:pPr>
    </w:p>
    <w:p w14:paraId="7978E1D3">
      <w:pPr>
        <w:pStyle w:val="3"/>
        <w:kinsoku w:val="0"/>
        <w:overflowPunct w:val="0"/>
        <w:spacing w:before="8"/>
        <w:rPr>
          <w:rFonts w:hint="default" w:ascii="Times New Roman" w:hAnsi="Times New Roman" w:eastAsia="方正仿宋_GBK" w:cs="Times New Roman"/>
          <w:sz w:val="32"/>
          <w:szCs w:val="32"/>
        </w:rPr>
      </w:pPr>
    </w:p>
    <w:p w14:paraId="30F32E51">
      <w:pPr>
        <w:pStyle w:val="3"/>
        <w:kinsoku w:val="0"/>
        <w:overflowPunct w:val="0"/>
        <w:spacing w:before="8"/>
        <w:rPr>
          <w:rFonts w:hint="default" w:ascii="Times New Roman" w:hAnsi="Times New Roman" w:eastAsia="方正仿宋_GBK" w:cs="Times New Roman"/>
          <w:sz w:val="32"/>
          <w:szCs w:val="32"/>
        </w:rPr>
      </w:pPr>
    </w:p>
    <w:p w14:paraId="55A6307C">
      <w:pPr>
        <w:pStyle w:val="3"/>
        <w:kinsoku w:val="0"/>
        <w:overflowPunct w:val="0"/>
        <w:spacing w:before="8"/>
        <w:rPr>
          <w:rFonts w:hint="default" w:ascii="Times New Roman" w:hAnsi="Times New Roman" w:eastAsia="方正仿宋_GBK" w:cs="Times New Roman"/>
          <w:sz w:val="32"/>
          <w:szCs w:val="32"/>
        </w:rPr>
      </w:pPr>
    </w:p>
    <w:p w14:paraId="3E7DA7C1">
      <w:pPr>
        <w:pStyle w:val="3"/>
        <w:kinsoku w:val="0"/>
        <w:overflowPunct w:val="0"/>
        <w:spacing w:before="8"/>
        <w:rPr>
          <w:rFonts w:hint="default" w:ascii="Times New Roman" w:hAnsi="Times New Roman" w:eastAsia="方正仿宋_GBK" w:cs="Times New Roman"/>
          <w:sz w:val="32"/>
          <w:szCs w:val="32"/>
        </w:rPr>
      </w:pPr>
    </w:p>
    <w:p w14:paraId="493CB5EF">
      <w:pPr>
        <w:pStyle w:val="3"/>
        <w:kinsoku w:val="0"/>
        <w:overflowPunct w:val="0"/>
        <w:spacing w:before="8"/>
        <w:rPr>
          <w:rFonts w:hint="default" w:ascii="Times New Roman" w:hAnsi="Times New Roman" w:eastAsia="方正仿宋_GBK" w:cs="Times New Roman"/>
          <w:sz w:val="32"/>
          <w:szCs w:val="32"/>
        </w:rPr>
      </w:pPr>
    </w:p>
    <w:p w14:paraId="233CC475">
      <w:pPr>
        <w:pStyle w:val="3"/>
        <w:kinsoku w:val="0"/>
        <w:overflowPunct w:val="0"/>
        <w:spacing w:before="8"/>
        <w:rPr>
          <w:rFonts w:hint="default" w:ascii="Times New Roman" w:hAnsi="Times New Roman" w:eastAsia="方正仿宋_GBK" w:cs="Times New Roman"/>
          <w:sz w:val="32"/>
          <w:szCs w:val="32"/>
        </w:rPr>
      </w:pPr>
    </w:p>
    <w:p w14:paraId="270EA52A">
      <w:pPr>
        <w:pStyle w:val="3"/>
        <w:kinsoku w:val="0"/>
        <w:overflowPunct w:val="0"/>
        <w:spacing w:before="8"/>
        <w:rPr>
          <w:rFonts w:hint="default" w:ascii="Times New Roman" w:hAnsi="Times New Roman" w:eastAsia="方正仿宋_GBK" w:cs="Times New Roman"/>
          <w:sz w:val="32"/>
          <w:szCs w:val="32"/>
        </w:rPr>
      </w:pPr>
    </w:p>
    <w:p w14:paraId="472A6B6A">
      <w:pPr>
        <w:pStyle w:val="3"/>
        <w:kinsoku w:val="0"/>
        <w:overflowPunct w:val="0"/>
        <w:spacing w:before="8"/>
        <w:rPr>
          <w:rFonts w:hint="default" w:ascii="Times New Roman" w:hAnsi="Times New Roman" w:eastAsia="方正仿宋_GBK" w:cs="Times New Roman"/>
          <w:sz w:val="32"/>
          <w:szCs w:val="32"/>
        </w:rPr>
      </w:pPr>
    </w:p>
    <w:p w14:paraId="53569398">
      <w:pPr>
        <w:pStyle w:val="3"/>
        <w:tabs>
          <w:tab w:val="left" w:pos="880"/>
        </w:tabs>
        <w:kinsoku w:val="0"/>
        <w:overflowPunct w:val="0"/>
        <w:spacing w:before="1"/>
        <w:ind w:right="2"/>
        <w:jc w:val="center"/>
        <w:outlineLvl w:val="0"/>
        <w:rPr>
          <w:rFonts w:hint="default" w:ascii="Times New Roman" w:hAnsi="Times New Roman" w:eastAsia="方正仿宋_GBK" w:cs="Times New Roman"/>
          <w:sz w:val="32"/>
          <w:szCs w:val="32"/>
        </w:rPr>
      </w:pPr>
      <w:bookmarkStart w:id="0" w:name="_Toc75514990"/>
      <w:r>
        <w:rPr>
          <w:rFonts w:hint="default" w:ascii="Times New Roman" w:hAnsi="Times New Roman" w:eastAsia="方正仿宋_GBK" w:cs="Times New Roman"/>
          <w:sz w:val="32"/>
          <w:szCs w:val="32"/>
        </w:rPr>
        <w:t>摘</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要</w:t>
      </w:r>
      <w:bookmarkEnd w:id="0"/>
    </w:p>
    <w:p w14:paraId="7946297A">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经费项目是根据《中国地震群测群防大纲》要求，加强防震减灾群测群防工作。地震群测群防工作主要包含“三网一员”体系建设，充分发挥“宏观异常观测网”“地震灾情速报网”“防震减灾宣传网”及防震减灾助理员。</w:t>
      </w:r>
    </w:p>
    <w:p w14:paraId="66EC7544">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我市有35个宏观观测点，202</w:t>
      </w:r>
      <w:r>
        <w:rPr>
          <w:rFonts w:hint="default" w:ascii="Times New Roman" w:hAnsi="Times New Roman" w:eastAsia="方正仿宋_GBK" w:cs="Times New Roman"/>
          <w:spacing w:val="4"/>
          <w:w w:val="95"/>
          <w:sz w:val="32"/>
          <w:szCs w:val="32"/>
          <w:lang w:val="en-US" w:eastAsia="zh-CN"/>
        </w:rPr>
        <w:t>3</w:t>
      </w:r>
      <w:r>
        <w:rPr>
          <w:rFonts w:hint="default" w:ascii="Times New Roman" w:hAnsi="Times New Roman" w:eastAsia="方正仿宋_GBK" w:cs="Times New Roman"/>
          <w:spacing w:val="4"/>
          <w:w w:val="95"/>
          <w:sz w:val="32"/>
          <w:szCs w:val="32"/>
        </w:rPr>
        <w:t>年度四县一区皆选取观测环境较好的点安装视频摄像头，实现了远程视频观测；全市乡镇（街道）已配齐112名防震减灾助理员，实现全覆盖。</w:t>
      </w:r>
    </w:p>
    <w:p w14:paraId="104F6E37">
      <w:pPr>
        <w:pStyle w:val="3"/>
        <w:kinsoku w:val="0"/>
        <w:overflowPunct w:val="0"/>
        <w:spacing w:line="600" w:lineRule="exact"/>
        <w:ind w:firstLine="624" w:firstLineChars="200"/>
        <w:jc w:val="both"/>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通过组织培训，提升群测群防人员的业务水平和适应新时期工作的能力；组织检查，对群测群防工作人员的工作环境是否适合工作，工作制度是否上墙、工作日志是否按时记录等进行检查，对末尾进行淘汰，实行队伍的宏观管理；对有条件的宏观观测点实施数字化管理，安装远程视频监控。更科学的为“三网一员”群测群防队伍工作提供便利。</w:t>
      </w:r>
    </w:p>
    <w:p w14:paraId="7C732E01">
      <w:pPr>
        <w:pStyle w:val="3"/>
        <w:kinsoku w:val="0"/>
        <w:overflowPunct w:val="0"/>
        <w:spacing w:line="600" w:lineRule="exact"/>
        <w:ind w:firstLine="624" w:firstLineChars="200"/>
        <w:jc w:val="both"/>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项目实施很好的完成了其项目内包含的各类工作。</w:t>
      </w:r>
    </w:p>
    <w:p w14:paraId="5848A365">
      <w:pPr>
        <w:pStyle w:val="3"/>
        <w:kinsoku w:val="0"/>
        <w:overflowPunct w:val="0"/>
        <w:spacing w:before="224" w:line="480" w:lineRule="auto"/>
        <w:ind w:right="46"/>
        <w:rPr>
          <w:rFonts w:hint="default" w:ascii="Times New Roman" w:hAnsi="Times New Roman" w:eastAsia="方正仿宋_GBK" w:cs="Times New Roman"/>
          <w:sz w:val="32"/>
          <w:szCs w:val="32"/>
        </w:rPr>
        <w:sectPr>
          <w:footerReference r:id="rId3" w:type="default"/>
          <w:pgSz w:w="11910" w:h="16840"/>
          <w:pgMar w:top="1580" w:right="1420" w:bottom="1580" w:left="1480" w:header="0" w:footer="1384" w:gutter="0"/>
          <w:cols w:equalWidth="0" w:num="1">
            <w:col w:w="9010"/>
          </w:cols>
        </w:sectPr>
      </w:pPr>
    </w:p>
    <w:p w14:paraId="50F4EF33">
      <w:pPr>
        <w:pStyle w:val="3"/>
        <w:kinsoku w:val="0"/>
        <w:overflowPunct w:val="0"/>
        <w:ind w:left="751"/>
        <w:outlineLvl w:val="0"/>
        <w:rPr>
          <w:rFonts w:hint="eastAsia" w:ascii="方正黑体_GBK" w:hAnsi="方正黑体_GBK" w:eastAsia="方正黑体_GBK" w:cs="方正黑体_GBK"/>
          <w:sz w:val="32"/>
          <w:szCs w:val="32"/>
        </w:rPr>
      </w:pPr>
      <w:bookmarkStart w:id="1" w:name="_Toc75514991"/>
      <w:r>
        <w:rPr>
          <w:rFonts w:hint="eastAsia" w:ascii="方正黑体_GBK" w:hAnsi="方正黑体_GBK" w:eastAsia="方正黑体_GBK" w:cs="方正黑体_GBK"/>
          <w:sz w:val="32"/>
          <w:szCs w:val="32"/>
        </w:rPr>
        <w:t>一、项目基本情况</w:t>
      </w:r>
      <w:bookmarkEnd w:id="1"/>
    </w:p>
    <w:p w14:paraId="1C8EE7B9">
      <w:pPr>
        <w:spacing w:line="600" w:lineRule="exact"/>
        <w:ind w:firstLine="640" w:firstLineChars="200"/>
        <w:rPr>
          <w:rFonts w:hint="default" w:ascii="Times New Roman" w:hAnsi="Times New Roman" w:eastAsia="方正仿宋_GBK" w:cs="Times New Roman"/>
          <w:spacing w:val="4"/>
          <w:w w:val="95"/>
          <w:sz w:val="32"/>
          <w:szCs w:val="32"/>
        </w:rPr>
      </w:pPr>
      <w:r>
        <w:rPr>
          <w:rFonts w:hint="default" w:ascii="方正黑体_GBK" w:hAnsi="方正黑体_GBK" w:eastAsia="方正黑体_GBK" w:cs="方正黑体_GBK"/>
          <w:sz w:val="32"/>
          <w:szCs w:val="32"/>
          <w:lang w:val="en-US" w:eastAsia="zh-CN" w:bidi="ar-SA"/>
        </w:rPr>
        <w:t>（一）项目概况。</w:t>
      </w:r>
    </w:p>
    <w:p w14:paraId="7462AC06">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项目，根据《中国地震群测群防大纲》，要加强防震减灾群测群防工作。地震群测群防工作主要包含“三网一员”体系建设，充分发挥“宏观异常观测网”“地震灾情速报网”“防震减灾宣传网”及防震减灾助理员。年初预算4.4万元，已使用4.4万元。</w:t>
      </w:r>
    </w:p>
    <w:p w14:paraId="72B83826">
      <w:pPr>
        <w:spacing w:line="600" w:lineRule="exact"/>
        <w:ind w:firstLine="640" w:firstLineChars="200"/>
        <w:rPr>
          <w:rFonts w:hint="default" w:ascii="Times New Roman" w:hAnsi="Times New Roman" w:eastAsia="方正仿宋_GBK" w:cs="Times New Roman"/>
          <w:spacing w:val="4"/>
          <w:w w:val="95"/>
          <w:sz w:val="32"/>
          <w:szCs w:val="32"/>
        </w:rPr>
      </w:pPr>
      <w:r>
        <w:rPr>
          <w:rFonts w:hint="default" w:ascii="方正黑体_GBK" w:hAnsi="方正黑体_GBK" w:eastAsia="方正黑体_GBK" w:cs="方正黑体_GBK"/>
          <w:sz w:val="32"/>
          <w:szCs w:val="32"/>
          <w:lang w:val="en-US" w:eastAsia="zh-CN" w:bidi="ar-SA"/>
        </w:rPr>
        <w:t>（二）项目绩效目标</w:t>
      </w:r>
      <w:r>
        <w:rPr>
          <w:rFonts w:hint="default" w:ascii="Times New Roman" w:hAnsi="Times New Roman" w:eastAsia="方正仿宋_GBK" w:cs="Times New Roman"/>
          <w:spacing w:val="4"/>
          <w:w w:val="95"/>
          <w:sz w:val="32"/>
          <w:szCs w:val="32"/>
        </w:rPr>
        <w:t>。</w:t>
      </w:r>
    </w:p>
    <w:p w14:paraId="7F901A1C">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我市有35个宏观观测点，202</w:t>
      </w:r>
      <w:r>
        <w:rPr>
          <w:rFonts w:hint="default" w:ascii="Times New Roman" w:hAnsi="Times New Roman" w:eastAsia="方正仿宋_GBK" w:cs="Times New Roman"/>
          <w:spacing w:val="4"/>
          <w:w w:val="95"/>
          <w:sz w:val="32"/>
          <w:szCs w:val="32"/>
          <w:lang w:val="en-US" w:eastAsia="zh-CN"/>
        </w:rPr>
        <w:t>3</w:t>
      </w:r>
      <w:r>
        <w:rPr>
          <w:rFonts w:hint="default" w:ascii="Times New Roman" w:hAnsi="Times New Roman" w:eastAsia="方正仿宋_GBK" w:cs="Times New Roman"/>
          <w:spacing w:val="4"/>
          <w:w w:val="95"/>
          <w:sz w:val="32"/>
          <w:szCs w:val="32"/>
        </w:rPr>
        <w:t>年度四县一区皆选取观测环境较好的点安装视频摄像头，实现了远程视频观测；全市乡镇（街道）已配齐112名防震减灾助理员，实现全覆盖。</w:t>
      </w:r>
    </w:p>
    <w:p w14:paraId="5D4B4C88">
      <w:pPr>
        <w:pStyle w:val="3"/>
        <w:kinsoku w:val="0"/>
        <w:overflowPunct w:val="0"/>
        <w:spacing w:before="149"/>
        <w:ind w:left="751"/>
        <w:outlineLvl w:val="0"/>
        <w:rPr>
          <w:rFonts w:hint="default" w:ascii="方正黑体_GBK" w:hAnsi="方正黑体_GBK" w:eastAsia="方正黑体_GBK" w:cs="方正黑体_GBK"/>
          <w:sz w:val="32"/>
          <w:szCs w:val="32"/>
          <w:lang w:val="en-US" w:eastAsia="zh-CN" w:bidi="ar-SA"/>
        </w:rPr>
      </w:pPr>
      <w:bookmarkStart w:id="2" w:name="_Toc75514992"/>
      <w:r>
        <w:rPr>
          <w:rFonts w:hint="default" w:ascii="方正黑体_GBK" w:hAnsi="方正黑体_GBK" w:eastAsia="方正黑体_GBK" w:cs="方正黑体_GBK"/>
          <w:sz w:val="32"/>
          <w:szCs w:val="32"/>
          <w:lang w:val="en-US" w:eastAsia="zh-CN" w:bidi="ar-SA"/>
        </w:rPr>
        <w:t>二、绩效评价工作开展情况</w:t>
      </w:r>
      <w:bookmarkEnd w:id="2"/>
    </w:p>
    <w:p w14:paraId="7BABF39B">
      <w:pPr>
        <w:pStyle w:val="3"/>
        <w:kinsoku w:val="0"/>
        <w:overflowPunct w:val="0"/>
        <w:spacing w:line="600" w:lineRule="exact"/>
        <w:ind w:firstLine="640" w:firstLineChars="200"/>
        <w:jc w:val="both"/>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bidi="ar-SA"/>
        </w:rPr>
        <w:t>（一）绩效评价目的、对象和范围。</w:t>
      </w:r>
    </w:p>
    <w:p w14:paraId="799E339F">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经费。为全市35个宏观观测点，112名乡镇防震减灾助理员工作提供便利，实现全市四县一区皆有代表性的宏观观测点数字化管理。</w:t>
      </w:r>
    </w:p>
    <w:p w14:paraId="0C91443D">
      <w:pPr>
        <w:pStyle w:val="3"/>
        <w:kinsoku w:val="0"/>
        <w:overflowPunct w:val="0"/>
        <w:spacing w:line="600" w:lineRule="exact"/>
        <w:ind w:firstLine="640" w:firstLineChars="200"/>
        <w:jc w:val="both"/>
        <w:rPr>
          <w:rFonts w:hint="default" w:ascii="Times New Roman" w:hAnsi="Times New Roman" w:eastAsia="方正仿宋_GBK" w:cs="Times New Roman"/>
          <w:spacing w:val="-2"/>
          <w:sz w:val="32"/>
          <w:szCs w:val="32"/>
        </w:rPr>
      </w:pPr>
      <w:r>
        <w:rPr>
          <w:rFonts w:hint="default" w:ascii="方正黑体_GBK" w:hAnsi="方正黑体_GBK" w:eastAsia="方正黑体_GBK" w:cs="方正黑体_GBK"/>
          <w:sz w:val="32"/>
          <w:szCs w:val="32"/>
          <w:lang w:val="en-US" w:eastAsia="zh-CN" w:bidi="ar-SA"/>
        </w:rPr>
        <w:t>（二）绩效评价原则、评价指标体系、评价方法、评价标准等。</w:t>
      </w:r>
    </w:p>
    <w:p w14:paraId="3AE768F9">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坚持科学规范、公正公开、分级分类、绩效相关的绩效评价原则，从产出指标 （数量指标）、效益指标（经济效益指标、社会效益指标）、服务对象满意度指标多个方面，运用科学合理的绩效评价方法，对绩效评价项目运行过程、完成结果、实现程度等执行情况进行监督检查与综合评价，强化财政支出绩效管理理念，促进财政资金分配和使用更加科学和有效，提高财政资金使用效益和效率。</w:t>
      </w:r>
    </w:p>
    <w:p w14:paraId="37CC45C1">
      <w:pPr>
        <w:pStyle w:val="3"/>
        <w:kinsoku w:val="0"/>
        <w:overflowPunct w:val="0"/>
        <w:spacing w:before="3"/>
        <w:ind w:left="751"/>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bidi="ar-SA"/>
        </w:rPr>
        <w:t>（三）绩效评价工作过程。</w:t>
      </w:r>
    </w:p>
    <w:p w14:paraId="08DDB653">
      <w:pPr>
        <w:spacing w:line="600" w:lineRule="exact"/>
        <w:ind w:firstLine="6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宿州市地震局通过内部公示，采用科室自评、互评、财务部门评价等多种方式，最后将自评结果通知到各科室，确保自评结果公平、公正，客观、真实，以此作为以后年度项目资金分配和执行的重要依据，促进财政资金的合理分配与有效使用。</w:t>
      </w:r>
    </w:p>
    <w:p w14:paraId="3DA6200F">
      <w:pPr>
        <w:pStyle w:val="3"/>
        <w:kinsoku w:val="0"/>
        <w:overflowPunct w:val="0"/>
        <w:spacing w:before="152" w:line="326" w:lineRule="auto"/>
        <w:ind w:left="751" w:right="1534"/>
        <w:outlineLvl w:val="0"/>
        <w:rPr>
          <w:rFonts w:hint="default" w:ascii="Times New Roman" w:hAnsi="Times New Roman" w:eastAsia="方正仿宋_GBK" w:cs="Times New Roman"/>
          <w:sz w:val="32"/>
          <w:szCs w:val="32"/>
        </w:rPr>
      </w:pPr>
      <w:bookmarkStart w:id="3" w:name="_Toc75514993"/>
      <w:r>
        <w:rPr>
          <w:rFonts w:hint="default" w:ascii="方正黑体_GBK" w:hAnsi="方正黑体_GBK" w:eastAsia="方正黑体_GBK" w:cs="方正黑体_GBK"/>
          <w:sz w:val="32"/>
          <w:szCs w:val="32"/>
          <w:lang w:val="en-US" w:eastAsia="zh-CN" w:bidi="ar-SA"/>
        </w:rPr>
        <w:t>三、综合评价情况及评价结论</w:t>
      </w:r>
      <w:bookmarkEnd w:id="3"/>
    </w:p>
    <w:p w14:paraId="000B5257">
      <w:pPr>
        <w:spacing w:line="600" w:lineRule="exact"/>
        <w:ind w:firstLine="6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工作经费较好的保障了全市的</w:t>
      </w: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工作正常运转并进行数字化管理的升级。整合宏观观测员、灾情速报员以及防震减灾助理员信息，通过培训业务知识，检查工作成效，末尾淘汰制的原则，优化</w:t>
      </w: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队伍，提升</w:t>
      </w: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总体业务工作实力。</w:t>
      </w:r>
    </w:p>
    <w:p w14:paraId="34388443">
      <w:pPr>
        <w:pStyle w:val="3"/>
        <w:kinsoku w:val="0"/>
        <w:overflowPunct w:val="0"/>
        <w:spacing w:before="152" w:line="326" w:lineRule="auto"/>
        <w:ind w:left="751" w:right="1534"/>
        <w:outlineLvl w:val="0"/>
        <w:rPr>
          <w:rFonts w:hint="default" w:ascii="Times New Roman" w:hAnsi="Times New Roman" w:eastAsia="方正仿宋_GBK" w:cs="Times New Roman"/>
          <w:sz w:val="32"/>
          <w:szCs w:val="32"/>
        </w:rPr>
      </w:pPr>
      <w:bookmarkStart w:id="4" w:name="_Toc75514994"/>
      <w:r>
        <w:rPr>
          <w:rFonts w:hint="default" w:ascii="方正黑体_GBK" w:hAnsi="方正黑体_GBK" w:eastAsia="方正黑体_GBK" w:cs="方正黑体_GBK"/>
          <w:sz w:val="32"/>
          <w:szCs w:val="32"/>
          <w:lang w:val="en-US" w:eastAsia="zh-CN" w:bidi="ar-SA"/>
        </w:rPr>
        <w:t>四、绩效评价指标分析</w:t>
      </w:r>
      <w:bookmarkEnd w:id="4"/>
    </w:p>
    <w:p w14:paraId="7FED771B">
      <w:pPr>
        <w:pStyle w:val="3"/>
        <w:kinsoku w:val="0"/>
        <w:overflowPunct w:val="0"/>
        <w:spacing w:line="600" w:lineRule="exact"/>
        <w:ind w:firstLine="640" w:firstLineChars="200"/>
        <w:jc w:val="both"/>
        <w:rPr>
          <w:rFonts w:hint="default" w:ascii="Times New Roman" w:hAnsi="Times New Roman" w:eastAsia="方正仿宋_GBK" w:cs="Times New Roman"/>
          <w:w w:val="95"/>
          <w:sz w:val="32"/>
          <w:szCs w:val="32"/>
        </w:rPr>
      </w:pPr>
      <w:r>
        <w:rPr>
          <w:rFonts w:hint="default" w:ascii="方正黑体_GBK" w:hAnsi="方正黑体_GBK" w:eastAsia="方正黑体_GBK" w:cs="方正黑体_GBK"/>
          <w:sz w:val="32"/>
          <w:szCs w:val="32"/>
          <w:lang w:val="en-US" w:eastAsia="zh-CN" w:bidi="ar-SA"/>
        </w:rPr>
        <w:t>（一）项目决策情况。</w:t>
      </w:r>
    </w:p>
    <w:p w14:paraId="26225FB4">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宿州市地震局结合202</w:t>
      </w:r>
      <w:r>
        <w:rPr>
          <w:rFonts w:hint="default" w:ascii="Times New Roman" w:hAnsi="Times New Roman" w:eastAsia="方正仿宋_GBK" w:cs="Times New Roman"/>
          <w:spacing w:val="4"/>
          <w:w w:val="95"/>
          <w:sz w:val="32"/>
          <w:szCs w:val="32"/>
          <w:lang w:val="en-US" w:eastAsia="zh-CN"/>
        </w:rPr>
        <w:t>3</w:t>
      </w:r>
      <w:r>
        <w:rPr>
          <w:rFonts w:hint="default" w:ascii="Times New Roman" w:hAnsi="Times New Roman" w:eastAsia="方正仿宋_GBK" w:cs="Times New Roman"/>
          <w:spacing w:val="4"/>
          <w:w w:val="95"/>
          <w:sz w:val="32"/>
          <w:szCs w:val="32"/>
        </w:rPr>
        <w:t>年主要工作计划，结合工作实际需要，全面推进全市防震减灾事业发展，根据党组统一研究决定</w:t>
      </w: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项目经费支出范围、并制定总体目标和年度目标。</w:t>
      </w:r>
    </w:p>
    <w:p w14:paraId="13019C2A">
      <w:pPr>
        <w:pStyle w:val="3"/>
        <w:kinsoku w:val="0"/>
        <w:overflowPunct w:val="0"/>
        <w:spacing w:line="600" w:lineRule="exact"/>
        <w:ind w:firstLine="640" w:firstLineChars="200"/>
        <w:jc w:val="both"/>
        <w:rPr>
          <w:rFonts w:hint="default" w:ascii="Times New Roman" w:hAnsi="Times New Roman" w:eastAsia="方正仿宋_GBK" w:cs="Times New Roman"/>
          <w:w w:val="95"/>
          <w:sz w:val="32"/>
          <w:szCs w:val="32"/>
        </w:rPr>
      </w:pPr>
      <w:r>
        <w:rPr>
          <w:rFonts w:hint="default" w:ascii="方正黑体_GBK" w:hAnsi="方正黑体_GBK" w:eastAsia="方正黑体_GBK" w:cs="方正黑体_GBK"/>
          <w:sz w:val="32"/>
          <w:szCs w:val="32"/>
          <w:lang w:val="en-US" w:eastAsia="zh-CN" w:bidi="ar-SA"/>
        </w:rPr>
        <w:t>（二）项目过程情况。</w:t>
      </w:r>
    </w:p>
    <w:p w14:paraId="587A1699">
      <w:pPr>
        <w:pStyle w:val="3"/>
        <w:kinsoku w:val="0"/>
        <w:overflowPunct w:val="0"/>
        <w:spacing w:line="600" w:lineRule="exact"/>
        <w:ind w:firstLine="624" w:firstLineChars="200"/>
        <w:jc w:val="both"/>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通过组织培训，提升</w:t>
      </w: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人员的业务水平和适应新时期工作的能力；组织检查，对</w:t>
      </w: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spacing w:val="4"/>
          <w:w w:val="95"/>
          <w:sz w:val="32"/>
          <w:szCs w:val="32"/>
        </w:rPr>
        <w:t>工作人员的工作环境是否适合工作，工作制度是否上墙、工作日志是否按时记录等进行检查，对末尾进行淘汰，实行队伍的宏观管理；对有条件的宏观观测点实施数字化管理，安装远程视频监控。更科学的为“三网一员”群测群防队伍工作提供便利。</w:t>
      </w:r>
    </w:p>
    <w:p w14:paraId="3E967863">
      <w:pPr>
        <w:pStyle w:val="3"/>
        <w:kinsoku w:val="0"/>
        <w:overflowPunct w:val="0"/>
        <w:spacing w:line="600" w:lineRule="exact"/>
        <w:ind w:firstLine="480" w:firstLineChars="150"/>
        <w:jc w:val="both"/>
        <w:rPr>
          <w:rFonts w:hint="default" w:ascii="Times New Roman" w:hAnsi="Times New Roman" w:eastAsia="方正仿宋_GBK" w:cs="Times New Roman"/>
          <w:w w:val="95"/>
          <w:sz w:val="32"/>
          <w:szCs w:val="32"/>
        </w:rPr>
      </w:pPr>
      <w:r>
        <w:rPr>
          <w:rFonts w:hint="default" w:ascii="方正黑体_GBK" w:hAnsi="方正黑体_GBK" w:eastAsia="方正黑体_GBK" w:cs="方正黑体_GBK"/>
          <w:sz w:val="32"/>
          <w:szCs w:val="32"/>
          <w:lang w:val="en-US" w:eastAsia="zh-CN" w:bidi="ar-SA"/>
        </w:rPr>
        <w:t>（三）项目产出情况。</w:t>
      </w:r>
    </w:p>
    <w:p w14:paraId="36A96503">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为全市35个宏观观测点，112名乡镇防震减灾助理员工作提供便利，实现全市四县一区皆有代表性的宏观观测点数字化管理。</w:t>
      </w:r>
    </w:p>
    <w:p w14:paraId="565B7D0F">
      <w:pPr>
        <w:pStyle w:val="3"/>
        <w:kinsoku w:val="0"/>
        <w:overflowPunct w:val="0"/>
        <w:spacing w:line="600" w:lineRule="exact"/>
        <w:ind w:firstLine="640" w:firstLineChars="200"/>
        <w:jc w:val="both"/>
        <w:rPr>
          <w:rFonts w:hint="default" w:ascii="Times New Roman" w:hAnsi="Times New Roman" w:eastAsia="方正仿宋_GBK" w:cs="Times New Roman"/>
          <w:w w:val="95"/>
          <w:sz w:val="32"/>
          <w:szCs w:val="32"/>
        </w:rPr>
      </w:pPr>
      <w:r>
        <w:rPr>
          <w:rFonts w:hint="default" w:ascii="方正黑体_GBK" w:hAnsi="方正黑体_GBK" w:eastAsia="方正黑体_GBK" w:cs="方正黑体_GBK"/>
          <w:sz w:val="32"/>
          <w:szCs w:val="32"/>
          <w:lang w:val="en-US" w:eastAsia="zh-CN" w:bidi="ar-SA"/>
        </w:rPr>
        <w:t>（四）项目效益情况。</w:t>
      </w:r>
    </w:p>
    <w:p w14:paraId="4A1F98F5">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极大的提高了群测群防工作实效。</w:t>
      </w:r>
    </w:p>
    <w:p w14:paraId="3E805BE9">
      <w:pPr>
        <w:pStyle w:val="3"/>
        <w:kinsoku w:val="0"/>
        <w:overflowPunct w:val="0"/>
        <w:spacing w:before="151"/>
        <w:ind w:left="751"/>
        <w:outlineLvl w:val="0"/>
        <w:rPr>
          <w:rFonts w:hint="default" w:ascii="Times New Roman" w:hAnsi="Times New Roman" w:eastAsia="方正仿宋_GBK" w:cs="Times New Roman"/>
          <w:sz w:val="32"/>
          <w:szCs w:val="32"/>
        </w:rPr>
      </w:pPr>
      <w:bookmarkStart w:id="5" w:name="_Toc75514995"/>
      <w:r>
        <w:rPr>
          <w:rFonts w:hint="default" w:ascii="方正黑体_GBK" w:hAnsi="方正黑体_GBK" w:eastAsia="方正黑体_GBK" w:cs="方正黑体_GBK"/>
          <w:sz w:val="32"/>
          <w:szCs w:val="32"/>
          <w:lang w:val="en-US" w:eastAsia="zh-CN" w:bidi="ar-SA"/>
        </w:rPr>
        <w:t>五、主要经验及做法</w:t>
      </w:r>
      <w:bookmarkEnd w:id="5"/>
    </w:p>
    <w:p w14:paraId="667B6204">
      <w:pPr>
        <w:widowControl w:val="0"/>
        <w:pBdr>
          <w:bottom w:val="single" w:color="FFFFFF" w:sz="4" w:space="31"/>
        </w:pBdr>
        <w:autoSpaceDE/>
        <w:autoSpaceDN/>
        <w:adjustRightInd w:val="0"/>
        <w:snapToGrid w:val="0"/>
        <w:spacing w:line="580" w:lineRule="exact"/>
        <w:ind w:firstLine="643"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kern w:val="2"/>
          <w:sz w:val="32"/>
          <w:szCs w:val="32"/>
        </w:rPr>
        <w:t>一是完善“三网一员”机制，动态调整宏观观测员。</w:t>
      </w:r>
      <w:bookmarkStart w:id="6" w:name="OLE_LINK2"/>
      <w:r>
        <w:rPr>
          <w:rFonts w:hint="default" w:ascii="Times New Roman" w:hAnsi="Times New Roman" w:eastAsia="方正仿宋_GBK" w:cs="Times New Roman"/>
          <w:kern w:val="2"/>
          <w:sz w:val="32"/>
          <w:szCs w:val="32"/>
        </w:rPr>
        <w:t>全市配齐112个乡镇（街道）防震减灾助理员，升级优化宏观观测员35名。结合202</w:t>
      </w:r>
      <w:r>
        <w:rPr>
          <w:rFonts w:hint="default"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年度全市地震宏观观测网点工作实效考核结果，对不符合工作要求的核减3个（泗县核减3个），并根据工作需要新增3个（萧县1个，泗县1个，埇桥区1个）。现仍保留35个宏观观测网点（其中，泗县9个，萧县10个，灵璧4个，砀山3个，埇桥区9个）。</w:t>
      </w:r>
      <w:bookmarkEnd w:id="6"/>
    </w:p>
    <w:p w14:paraId="41BA249D">
      <w:pPr>
        <w:widowControl w:val="0"/>
        <w:pBdr>
          <w:bottom w:val="single" w:color="FFFFFF" w:sz="4" w:space="31"/>
        </w:pBdr>
        <w:autoSpaceDE/>
        <w:autoSpaceDN/>
        <w:adjustRightInd w:val="0"/>
        <w:snapToGrid w:val="0"/>
        <w:spacing w:line="580" w:lineRule="exact"/>
        <w:ind w:firstLine="643"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kern w:val="2"/>
          <w:sz w:val="32"/>
          <w:szCs w:val="32"/>
        </w:rPr>
        <w:t>二是规范管理，充分发挥宏观网点在地震短临预报中的作用。</w:t>
      </w:r>
      <w:r>
        <w:rPr>
          <w:rFonts w:hint="default" w:ascii="Times New Roman" w:hAnsi="Times New Roman" w:eastAsia="方正仿宋_GBK" w:cs="Times New Roman"/>
          <w:kern w:val="2"/>
          <w:sz w:val="32"/>
          <w:szCs w:val="32"/>
        </w:rPr>
        <w:t>202</w:t>
      </w:r>
      <w:r>
        <w:rPr>
          <w:rFonts w:hint="default"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年我局按照“四个一”标准指导各宏观点开展工作，即全市35个点都挂上“宿州市</w:t>
      </w: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kern w:val="2"/>
          <w:sz w:val="32"/>
          <w:szCs w:val="32"/>
        </w:rPr>
        <w:t>宏观观测点”牌子；都有固定的、有一定文化基础的、责任心较强的宏观观测员；各县（区）都制定了</w:t>
      </w:r>
      <w:r>
        <w:rPr>
          <w:rFonts w:hint="default" w:ascii="Times New Roman" w:hAnsi="Times New Roman" w:eastAsia="方正仿宋_GBK" w:cs="Times New Roman"/>
          <w:spacing w:val="4"/>
          <w:w w:val="95"/>
          <w:sz w:val="32"/>
          <w:szCs w:val="32"/>
          <w:lang w:eastAsia="zh-CN"/>
        </w:rPr>
        <w:t>地震监测</w:t>
      </w:r>
      <w:r>
        <w:rPr>
          <w:rFonts w:hint="default" w:ascii="Times New Roman" w:hAnsi="Times New Roman" w:eastAsia="方正仿宋_GBK" w:cs="Times New Roman"/>
          <w:kern w:val="2"/>
          <w:sz w:val="32"/>
          <w:szCs w:val="32"/>
        </w:rPr>
        <w:t>工作制度和管理制度；每个宏观点有一本记录较为规范的《宏观观测日报簿》，并对宏观观测员和观测点实行动态管理，对20</w:t>
      </w:r>
      <w:r>
        <w:rPr>
          <w:rFonts w:hint="default" w:ascii="Times New Roman" w:hAnsi="Times New Roman" w:eastAsia="方正仿宋_GBK" w:cs="Times New Roman"/>
          <w:kern w:val="2"/>
          <w:sz w:val="32"/>
          <w:szCs w:val="32"/>
          <w:lang w:val="en-US" w:eastAsia="zh-CN"/>
        </w:rPr>
        <w:t>22</w:t>
      </w:r>
      <w:r>
        <w:rPr>
          <w:rFonts w:hint="default" w:ascii="Times New Roman" w:hAnsi="Times New Roman" w:eastAsia="方正仿宋_GBK" w:cs="Times New Roman"/>
          <w:kern w:val="2"/>
          <w:sz w:val="32"/>
          <w:szCs w:val="32"/>
        </w:rPr>
        <w:t>年度考核不合格、不能胜任的宏观观测员和条件不理想的宏观观测点予以调整，更有利于发挥了宏观点的作用，提高观测员责任意识与工作水平。达到了宏观观测“责任到人、信息可靠、联络畅通”的要求。</w:t>
      </w:r>
    </w:p>
    <w:p w14:paraId="7CA3C5E7">
      <w:pPr>
        <w:widowControl w:val="0"/>
        <w:pBdr>
          <w:bottom w:val="single" w:color="FFFFFF" w:sz="4" w:space="31"/>
        </w:pBdr>
        <w:autoSpaceDE/>
        <w:autoSpaceDN/>
        <w:adjustRightInd w:val="0"/>
        <w:snapToGrid w:val="0"/>
        <w:spacing w:line="580" w:lineRule="exact"/>
        <w:ind w:firstLine="643"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kern w:val="2"/>
          <w:sz w:val="32"/>
          <w:szCs w:val="32"/>
        </w:rPr>
        <w:t>三是组织培训，进一步提升宏观观测员的专业业务水平。</w:t>
      </w:r>
      <w:bookmarkStart w:id="7" w:name="OLE_LINK1"/>
      <w:bookmarkStart w:id="8" w:name="OLE_LINK3"/>
      <w:r>
        <w:rPr>
          <w:rFonts w:hint="default" w:ascii="Times New Roman" w:hAnsi="Times New Roman" w:eastAsia="方正仿宋_GBK" w:cs="Times New Roman"/>
          <w:kern w:val="2"/>
          <w:sz w:val="32"/>
          <w:szCs w:val="32"/>
        </w:rPr>
        <w:t>7月29日，宿州市组织开展全市地震群测群防工作业务培训班。特邀省地震局震害防御处（市县处、法规处合蜀办公）宋晓燕副处长授课，市地震局各科室负责人及业务人员，各县区地震部门业务负责人、各县区群测群防人员参加了此次培训。宋晓燕副处长以PPT讲解、视频播放等形式，从地震科普基础知识、震灾防御热点问题、群测群防日常工作及管理等方面进行了深入浅出的讲解。市地震局监测科张先锋科长对上半年全市宏观观测点的检查情况进行了通报，并对下一步的工作提出了具体要求。最后，组织与会人员到市野生动物园宏观观测点现场学习交流。通过培训，丰富了地震宏观观测员的业务知识，提升了宏观观测员的责任意识，进一步健全了全市防震减灾工作群测群防网络体系建设。</w:t>
      </w:r>
      <w:bookmarkEnd w:id="7"/>
      <w:bookmarkEnd w:id="8"/>
    </w:p>
    <w:p w14:paraId="2311F4D5">
      <w:pPr>
        <w:widowControl w:val="0"/>
        <w:pBdr>
          <w:bottom w:val="single" w:color="FFFFFF" w:sz="4" w:space="31"/>
        </w:pBdr>
        <w:autoSpaceDE/>
        <w:autoSpaceDN/>
        <w:adjustRightInd w:val="0"/>
        <w:snapToGrid w:val="0"/>
        <w:spacing w:line="600" w:lineRule="exact"/>
        <w:ind w:firstLine="643"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b/>
          <w:kern w:val="2"/>
          <w:sz w:val="32"/>
          <w:szCs w:val="32"/>
        </w:rPr>
        <w:t>四是加大检查力度，确保宏观点有效运行。</w:t>
      </w:r>
      <w:r>
        <w:rPr>
          <w:rFonts w:hint="default" w:ascii="Times New Roman" w:hAnsi="Times New Roman" w:eastAsia="方正仿宋_GBK" w:cs="Times New Roman"/>
          <w:color w:val="000000"/>
          <w:kern w:val="2"/>
          <w:sz w:val="32"/>
          <w:szCs w:val="32"/>
        </w:rPr>
        <w:t>5月中下旬，党组成员、副局长侯凤侠带队，通过实地查看宏观观测网点规模、宏观日志记录本，与宏观员座谈等方式，详细了解宏观观测点的业务开展情况及台帐资料、宏观日志填写情况。按照《安徽省地震群测群防工作管理办法》规范工作规程，以及《宿州市地震群测群防工作管理办法》、《宿州市地震宏观观测员考核细则》要求，结合全面实地检查，指导宏观观测点提升工作业务能力，切实提高宏观观测效能。</w:t>
      </w:r>
    </w:p>
    <w:p w14:paraId="1652A79A">
      <w:pPr>
        <w:pStyle w:val="2"/>
        <w:spacing w:before="0" w:after="0" w:line="600" w:lineRule="exact"/>
        <w:ind w:firstLine="200"/>
        <w:rPr>
          <w:rFonts w:hint="default" w:ascii="Times New Roman" w:hAnsi="Times New Roman" w:eastAsia="方正仿宋_GBK" w:cs="Times New Roman"/>
          <w:sz w:val="32"/>
          <w:szCs w:val="32"/>
        </w:rPr>
      </w:pPr>
      <w:bookmarkStart w:id="9" w:name="_Toc75514996"/>
      <w:r>
        <w:rPr>
          <w:rFonts w:hint="default" w:ascii="方正黑体_GBK" w:hAnsi="方正黑体_GBK" w:eastAsia="方正黑体_GBK" w:cs="方正黑体_GBK"/>
          <w:b w:val="0"/>
          <w:bCs w:val="0"/>
          <w:kern w:val="0"/>
          <w:sz w:val="32"/>
          <w:szCs w:val="32"/>
          <w:lang w:val="en-US" w:eastAsia="zh-CN" w:bidi="ar-SA"/>
        </w:rPr>
        <w:t>六、存在问题及原因分析</w:t>
      </w:r>
      <w:bookmarkEnd w:id="9"/>
    </w:p>
    <w:p w14:paraId="366A7EDA">
      <w:pPr>
        <w:widowControl w:val="0"/>
        <w:pBdr>
          <w:bottom w:val="single" w:color="FFFFFF" w:sz="4" w:space="31"/>
        </w:pBdr>
        <w:autoSpaceDE/>
        <w:autoSpaceDN/>
        <w:adjustRightInd w:val="0"/>
        <w:snapToGrid w:val="0"/>
        <w:spacing w:line="60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无。</w:t>
      </w:r>
    </w:p>
    <w:p w14:paraId="3F3BAAF8">
      <w:pPr>
        <w:pStyle w:val="2"/>
        <w:spacing w:before="0" w:after="0" w:line="600" w:lineRule="exact"/>
        <w:ind w:firstLine="200"/>
        <w:rPr>
          <w:rFonts w:hint="default" w:ascii="Times New Roman" w:hAnsi="Times New Roman" w:eastAsia="方正仿宋_GBK" w:cs="Times New Roman"/>
          <w:color w:val="000000"/>
          <w:kern w:val="2"/>
          <w:sz w:val="32"/>
          <w:szCs w:val="32"/>
        </w:rPr>
      </w:pPr>
      <w:bookmarkStart w:id="10" w:name="_Toc75514997"/>
      <w:r>
        <w:rPr>
          <w:rFonts w:hint="default" w:ascii="方正黑体_GBK" w:hAnsi="方正黑体_GBK" w:eastAsia="方正黑体_GBK" w:cs="方正黑体_GBK"/>
          <w:b w:val="0"/>
          <w:bCs w:val="0"/>
          <w:kern w:val="0"/>
          <w:sz w:val="32"/>
          <w:szCs w:val="32"/>
          <w:lang w:val="en-US" w:eastAsia="zh-CN" w:bidi="ar-SA"/>
        </w:rPr>
        <w:t>七、有关建议</w:t>
      </w:r>
      <w:bookmarkEnd w:id="10"/>
    </w:p>
    <w:p w14:paraId="29D9257D">
      <w:pPr>
        <w:widowControl w:val="0"/>
        <w:pBdr>
          <w:bottom w:val="single" w:color="FFFFFF" w:sz="4" w:space="31"/>
        </w:pBdr>
        <w:autoSpaceDE/>
        <w:autoSpaceDN/>
        <w:adjustRightInd w:val="0"/>
        <w:snapToGrid w:val="0"/>
        <w:spacing w:line="60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无。</w:t>
      </w:r>
    </w:p>
    <w:p w14:paraId="538E89B7">
      <w:pPr>
        <w:pStyle w:val="2"/>
        <w:spacing w:before="0" w:after="0" w:line="600" w:lineRule="exact"/>
        <w:ind w:firstLine="200"/>
        <w:rPr>
          <w:rFonts w:hint="default" w:ascii="方正黑体_GBK" w:hAnsi="方正黑体_GBK" w:eastAsia="方正黑体_GBK" w:cs="方正黑体_GBK"/>
          <w:b w:val="0"/>
          <w:bCs w:val="0"/>
          <w:kern w:val="0"/>
          <w:sz w:val="32"/>
          <w:szCs w:val="32"/>
          <w:lang w:val="en-US" w:eastAsia="zh-CN" w:bidi="ar-SA"/>
        </w:rPr>
      </w:pPr>
      <w:bookmarkStart w:id="11" w:name="_Toc75514998"/>
      <w:r>
        <w:rPr>
          <w:rFonts w:hint="default" w:ascii="方正黑体_GBK" w:hAnsi="方正黑体_GBK" w:eastAsia="方正黑体_GBK" w:cs="方正黑体_GBK"/>
          <w:b w:val="0"/>
          <w:bCs w:val="0"/>
          <w:kern w:val="0"/>
          <w:sz w:val="32"/>
          <w:szCs w:val="32"/>
          <w:lang w:val="en-US" w:eastAsia="zh-CN" w:bidi="ar-SA"/>
        </w:rPr>
        <w:t>八、其他需要说明的问题</w:t>
      </w:r>
      <w:bookmarkEnd w:id="11"/>
    </w:p>
    <w:p w14:paraId="060C7C2B">
      <w:pPr>
        <w:widowControl w:val="0"/>
        <w:pBdr>
          <w:bottom w:val="single" w:color="FFFFFF" w:sz="4" w:space="31"/>
        </w:pBdr>
        <w:autoSpaceDE/>
        <w:autoSpaceDN/>
        <w:adjustRightInd w:val="0"/>
        <w:snapToGrid w:val="0"/>
        <w:spacing w:line="600" w:lineRule="exact"/>
        <w:ind w:firstLine="640"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无。</w:t>
      </w:r>
    </w:p>
    <w:sectPr>
      <w:pgSz w:w="11906" w:h="16838"/>
      <w:pgMar w:top="1928" w:right="1531" w:bottom="1701" w:left="1531" w:header="737" w:footer="851"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6695"/>
      <w:docPartObj>
        <w:docPartGallery w:val="autotext"/>
      </w:docPartObj>
    </w:sdtPr>
    <w:sdtContent>
      <w:p w14:paraId="182C2EB1">
        <w:pPr>
          <w:pStyle w:val="4"/>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14:paraId="6939695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2"/>
  </w:compat>
  <w:docVars>
    <w:docVar w:name="commondata" w:val="eyJoZGlkIjoiYWQ3MjgxMzNmNWY1OTZjNjkyMWNjZmJmNTA4NDY0ZTcifQ=="/>
  </w:docVars>
  <w:rsids>
    <w:rsidRoot w:val="001F01E8"/>
    <w:rsid w:val="00057BCE"/>
    <w:rsid w:val="00074039"/>
    <w:rsid w:val="000E1A52"/>
    <w:rsid w:val="001D0D76"/>
    <w:rsid w:val="001D2842"/>
    <w:rsid w:val="001F01E8"/>
    <w:rsid w:val="00276858"/>
    <w:rsid w:val="00284E8C"/>
    <w:rsid w:val="002E0303"/>
    <w:rsid w:val="00412B7A"/>
    <w:rsid w:val="004348DA"/>
    <w:rsid w:val="00463AA9"/>
    <w:rsid w:val="00481BCE"/>
    <w:rsid w:val="004A1E62"/>
    <w:rsid w:val="005E768E"/>
    <w:rsid w:val="006127ED"/>
    <w:rsid w:val="006428AD"/>
    <w:rsid w:val="006727E7"/>
    <w:rsid w:val="006805BB"/>
    <w:rsid w:val="008C101D"/>
    <w:rsid w:val="00925C36"/>
    <w:rsid w:val="009B7A9F"/>
    <w:rsid w:val="009D4F29"/>
    <w:rsid w:val="009E70A5"/>
    <w:rsid w:val="00A0691E"/>
    <w:rsid w:val="00A75D29"/>
    <w:rsid w:val="00A95CBF"/>
    <w:rsid w:val="00AF1E64"/>
    <w:rsid w:val="00AF6F90"/>
    <w:rsid w:val="00B8422B"/>
    <w:rsid w:val="00C12AD2"/>
    <w:rsid w:val="00C90AFE"/>
    <w:rsid w:val="00D03B43"/>
    <w:rsid w:val="00D64043"/>
    <w:rsid w:val="00DE74EA"/>
    <w:rsid w:val="00F2336F"/>
    <w:rsid w:val="0EA71FA5"/>
    <w:rsid w:val="0F750374"/>
    <w:rsid w:val="31967729"/>
    <w:rsid w:val="35F1068C"/>
    <w:rsid w:val="3A04322D"/>
    <w:rsid w:val="7DC32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jc w:val="both"/>
    </w:pPr>
    <w:rPr>
      <w:rFonts w:ascii="Calibri" w:hAnsi="宋体" w:eastAsia="宋体" w:cs="宋体"/>
      <w:sz w:val="21"/>
      <w:szCs w:val="21"/>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widowControl w:val="0"/>
      <w:adjustRightInd w:val="0"/>
      <w:jc w:val="left"/>
    </w:pPr>
    <w:rPr>
      <w:rFonts w:ascii="仿宋_GB2312" w:hAnsi="Times New Roman" w:eastAsia="仿宋_GB2312" w:cs="仿宋_GB2312"/>
      <w:sz w:val="32"/>
      <w:szCs w:val="32"/>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39"/>
  </w:style>
  <w:style w:type="character" w:styleId="9">
    <w:name w:val="Hyperlink"/>
    <w:basedOn w:val="8"/>
    <w:unhideWhenUsed/>
    <w:qFormat/>
    <w:uiPriority w:val="99"/>
    <w:rPr>
      <w:color w:val="0563C1" w:themeColor="hyperlink"/>
      <w:u w:val="single"/>
    </w:rPr>
  </w:style>
  <w:style w:type="character" w:customStyle="1" w:styleId="10">
    <w:name w:val="页眉 Char"/>
    <w:basedOn w:val="8"/>
    <w:link w:val="5"/>
    <w:qFormat/>
    <w:uiPriority w:val="0"/>
    <w:rPr>
      <w:rFonts w:ascii="Calibri" w:hAnsi="宋体" w:eastAsia="宋体" w:cs="宋体"/>
      <w:sz w:val="18"/>
      <w:szCs w:val="18"/>
    </w:rPr>
  </w:style>
  <w:style w:type="character" w:customStyle="1" w:styleId="11">
    <w:name w:val="页脚 Char"/>
    <w:basedOn w:val="8"/>
    <w:link w:val="4"/>
    <w:qFormat/>
    <w:uiPriority w:val="99"/>
    <w:rPr>
      <w:rFonts w:ascii="Calibri" w:hAnsi="宋体" w:eastAsia="宋体" w:cs="宋体"/>
      <w:sz w:val="18"/>
      <w:szCs w:val="18"/>
    </w:rPr>
  </w:style>
  <w:style w:type="paragraph" w:customStyle="1" w:styleId="12">
    <w:name w:val="Heading 1"/>
    <w:basedOn w:val="1"/>
    <w:qFormat/>
    <w:uiPriority w:val="0"/>
    <w:pPr>
      <w:widowControl w:val="0"/>
      <w:adjustRightInd w:val="0"/>
      <w:spacing w:line="753" w:lineRule="exact"/>
      <w:ind w:right="332"/>
      <w:jc w:val="center"/>
      <w:outlineLvl w:val="0"/>
    </w:pPr>
    <w:rPr>
      <w:rFonts w:ascii="方正小标宋_GBK" w:hAnsi="Times New Roman" w:eastAsia="方正小标宋_GBK" w:cs="方正小标宋_GBK"/>
      <w:sz w:val="44"/>
      <w:szCs w:val="44"/>
    </w:rPr>
  </w:style>
  <w:style w:type="character" w:customStyle="1" w:styleId="13">
    <w:name w:val="正文文本 Char"/>
    <w:basedOn w:val="8"/>
    <w:link w:val="3"/>
    <w:qFormat/>
    <w:uiPriority w:val="0"/>
    <w:rPr>
      <w:rFonts w:ascii="仿宋_GB2312" w:hAnsi="Times New Roman" w:eastAsia="仿宋_GB2312" w:cs="仿宋_GB2312"/>
      <w:sz w:val="32"/>
      <w:szCs w:val="32"/>
    </w:rPr>
  </w:style>
  <w:style w:type="paragraph" w:customStyle="1" w:styleId="14">
    <w:name w:val="列出段落1"/>
    <w:basedOn w:val="1"/>
    <w:qFormat/>
    <w:uiPriority w:val="0"/>
    <w:pPr>
      <w:widowControl w:val="0"/>
      <w:adjustRightInd w:val="0"/>
      <w:ind w:left="266" w:firstLine="640"/>
      <w:jc w:val="left"/>
    </w:pPr>
    <w:rPr>
      <w:rFonts w:ascii="仿宋_GB2312" w:hAnsi="Times New Roman" w:eastAsia="仿宋_GB2312" w:cs="仿宋_GB2312"/>
      <w:sz w:val="24"/>
      <w:szCs w:val="24"/>
    </w:rPr>
  </w:style>
  <w:style w:type="character" w:customStyle="1" w:styleId="15">
    <w:name w:val="标题 1 Char"/>
    <w:basedOn w:val="8"/>
    <w:link w:val="2"/>
    <w:qFormat/>
    <w:uiPriority w:val="0"/>
    <w:rPr>
      <w:rFonts w:ascii="Calibri" w:hAnsi="宋体" w:eastAsia="宋体" w:cs="宋体"/>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czj</Company>
  <Pages>8</Pages>
  <Words>2605</Words>
  <Characters>2655</Characters>
  <Lines>24</Lines>
  <Paragraphs>7</Paragraphs>
  <TotalTime>11</TotalTime>
  <ScaleCrop>false</ScaleCrop>
  <LinksUpToDate>false</LinksUpToDate>
  <CharactersWithSpaces>2670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2020-03-05T03:12:00Z</dcterms:created>
  <dc:creator>liulu</dc:creator>
  <cp:lastModifiedBy>szsdzj</cp:lastModifiedBy>
  <dcterms:modified xsi:type="dcterms:W3CDTF">2024-11-13T07:57:22Z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FE1816FFF9714D1083A4BC7B698EA0BA_12</vt:lpwstr>
  </property>
</Properties>
</file>