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E39E">
      <w:pPr>
        <w:pStyle w:val="12"/>
        <w:kinsoku w:val="0"/>
        <w:overflowPunct w:val="0"/>
        <w:spacing w:line="240" w:lineRule="auto"/>
        <w:ind w:left="87" w:right="1186"/>
        <w:outlineLvl w:val="9"/>
        <w:rPr>
          <w:rFonts w:hint="default" w:ascii="Times New Roman" w:hAnsi="Times New Roman" w:eastAsia="方正仿宋_GBK" w:cs="Times New Roman"/>
        </w:rPr>
      </w:pPr>
    </w:p>
    <w:p w14:paraId="341E3CEF">
      <w:pPr>
        <w:pStyle w:val="12"/>
        <w:kinsoku w:val="0"/>
        <w:overflowPunct w:val="0"/>
        <w:spacing w:line="240" w:lineRule="auto"/>
        <w:ind w:left="87" w:right="1186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项目支出绩效评价报告</w:t>
      </w:r>
    </w:p>
    <w:p w14:paraId="4CD4AF10">
      <w:pPr>
        <w:spacing w:line="560" w:lineRule="exact"/>
        <w:ind w:firstLine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0A65036">
      <w:pPr>
        <w:spacing w:line="560" w:lineRule="exact"/>
        <w:ind w:firstLine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DC8967F">
      <w:pPr>
        <w:spacing w:line="560" w:lineRule="exact"/>
        <w:ind w:firstLine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1AD40E7">
      <w:pPr>
        <w:pStyle w:val="3"/>
        <w:kinsoku w:val="0"/>
        <w:overflowPunct w:val="0"/>
        <w:spacing w:before="1"/>
        <w:ind w:left="89" w:right="118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震害防御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经费项目支出绩效评价报告</w:t>
      </w:r>
    </w:p>
    <w:p w14:paraId="5F8081FB">
      <w:pPr>
        <w:spacing w:line="560" w:lineRule="exact"/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32DF005D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1FB81FCE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2B701EED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335585CC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372CC726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4AFC727E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42FDE61A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65B27703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48093F68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080E692C">
      <w:pPr>
        <w:spacing w:line="560" w:lineRule="exact"/>
        <w:ind w:firstLine="600"/>
        <w:rPr>
          <w:rFonts w:hint="default" w:ascii="Times New Roman" w:hAnsi="Times New Roman" w:eastAsia="方正仿宋_GBK" w:cs="Times New Roman"/>
        </w:rPr>
      </w:pPr>
    </w:p>
    <w:p w14:paraId="639EF6F3">
      <w:pPr>
        <w:pStyle w:val="3"/>
        <w:kinsoku w:val="0"/>
        <w:overflowPunct w:val="0"/>
        <w:spacing w:before="1"/>
        <w:ind w:left="89" w:right="1183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eastAsia="方正仿宋_GBK" w:cs="Times New Roman"/>
          <w:lang w:val="en-US" w:eastAsia="zh-CN"/>
        </w:rPr>
        <w:t>8</w:t>
      </w:r>
      <w:bookmarkStart w:id="9" w:name="_GoBack"/>
      <w:bookmarkEnd w:id="9"/>
      <w:r>
        <w:rPr>
          <w:rFonts w:hint="default" w:ascii="Times New Roman" w:hAnsi="Times New Roman" w:eastAsia="方正仿宋_GBK" w:cs="Times New Roman"/>
        </w:rPr>
        <w:t>月</w:t>
      </w:r>
    </w:p>
    <w:p w14:paraId="75C626C8">
      <w:pPr>
        <w:autoSpaceDE/>
        <w:autoSpaceDN/>
        <w:jc w:val="lef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br w:type="page"/>
      </w:r>
    </w:p>
    <w:p w14:paraId="1DEE06BD">
      <w:pPr>
        <w:pStyle w:val="3"/>
        <w:kinsoku w:val="0"/>
        <w:overflowPunct w:val="0"/>
        <w:spacing w:before="10"/>
        <w:rPr>
          <w:rFonts w:hint="default" w:ascii="Times New Roman" w:hAnsi="Times New Roman" w:eastAsia="方正仿宋_GBK" w:cs="Times New Roman"/>
          <w:sz w:val="26"/>
          <w:szCs w:val="26"/>
        </w:rPr>
      </w:pPr>
    </w:p>
    <w:p w14:paraId="3ABEF783">
      <w:pPr>
        <w:pStyle w:val="12"/>
        <w:tabs>
          <w:tab w:val="left" w:pos="880"/>
        </w:tabs>
        <w:kinsoku w:val="0"/>
        <w:overflowPunct w:val="0"/>
        <w:ind w:right="2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目</w:t>
      </w:r>
      <w:r>
        <w:rPr>
          <w:rFonts w:hint="default" w:ascii="Times New Roman" w:hAnsi="Times New Roman" w:eastAsia="方正仿宋_GBK" w:cs="Times New Roman"/>
        </w:rPr>
        <w:tab/>
      </w:r>
      <w:r>
        <w:rPr>
          <w:rFonts w:hint="default" w:ascii="Times New Roman" w:hAnsi="Times New Roman" w:eastAsia="方正仿宋_GBK" w:cs="Times New Roman"/>
        </w:rPr>
        <w:t>录</w:t>
      </w:r>
    </w:p>
    <w:p w14:paraId="73557871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7A46BFE3">
      <w:pPr>
        <w:pStyle w:val="6"/>
        <w:tabs>
          <w:tab w:val="left" w:pos="630"/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TOC \o "1-3" \h \z \u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"_Toc75514990"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ab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_Toc75514990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28624F83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"_Toc75514991"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一、项目基本情况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_Toc75514991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2109E1A1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"_Toc75514992"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二、绩效评价工作开展情况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_Toc75514992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0F523E5C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"_Toc75514993"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三、综合评价情况及评价结论（附相关评分表）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_Toc75514993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53B4DED3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"_Toc75514994"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四、绩效评价指标分析（可附表进行分析）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_Toc75514994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3A503D99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"_Toc75514995"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五、主要经验及做法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_Toc75514995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1332D399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"_Toc75514996"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六、存在问题及原因分析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_Toc75514996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0BA46768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"_Toc75514997"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七、有关建议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_Toc75514997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3D3EFF0C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"_Toc75514998"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八、其他需要说明的问题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_Toc75514998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31BC5A11">
      <w:pPr>
        <w:pStyle w:val="6"/>
        <w:tabs>
          <w:tab w:val="right" w:leader="dot" w:pos="9000"/>
        </w:tabs>
        <w:spacing w:line="60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\l "_Toc75514999"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w w:val="95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_Toc75514999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 w14:paraId="1244F987">
      <w:pPr>
        <w:pStyle w:val="3"/>
        <w:kinsoku w:val="0"/>
        <w:overflowPunct w:val="0"/>
        <w:spacing w:before="8" w:line="6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fldChar w:fldCharType="end"/>
      </w:r>
    </w:p>
    <w:p w14:paraId="0902D6CD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539CBF57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2AB7AAC9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07CE08DF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365334E5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47703401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1AFF8497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75332536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110ECF9A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467BD2F0">
      <w:pPr>
        <w:pStyle w:val="3"/>
        <w:kinsoku w:val="0"/>
        <w:overflowPunct w:val="0"/>
        <w:spacing w:before="8"/>
        <w:rPr>
          <w:rFonts w:hint="default" w:ascii="Times New Roman" w:hAnsi="Times New Roman" w:eastAsia="方正仿宋_GBK" w:cs="Times New Roman"/>
        </w:rPr>
      </w:pPr>
    </w:p>
    <w:p w14:paraId="6677DFB2">
      <w:pPr>
        <w:pStyle w:val="3"/>
        <w:tabs>
          <w:tab w:val="left" w:pos="880"/>
        </w:tabs>
        <w:kinsoku w:val="0"/>
        <w:overflowPunct w:val="0"/>
        <w:spacing w:before="1"/>
        <w:ind w:right="2"/>
        <w:jc w:val="center"/>
        <w:outlineLvl w:val="0"/>
        <w:rPr>
          <w:rFonts w:hint="default" w:ascii="Times New Roman" w:hAnsi="Times New Roman" w:eastAsia="方正仿宋_GBK" w:cs="Times New Roman"/>
          <w:sz w:val="44"/>
          <w:szCs w:val="44"/>
        </w:rPr>
      </w:pPr>
      <w:bookmarkStart w:id="0" w:name="_Toc75514990"/>
      <w:r>
        <w:rPr>
          <w:rFonts w:hint="default" w:ascii="Times New Roman" w:hAnsi="Times New Roman" w:eastAsia="方正仿宋_GBK" w:cs="Times New Roman"/>
          <w:sz w:val="44"/>
          <w:szCs w:val="44"/>
        </w:rPr>
        <w:t>摘</w:t>
      </w:r>
      <w:r>
        <w:rPr>
          <w:rFonts w:hint="default" w:ascii="Times New Roman" w:hAnsi="Times New Roman" w:eastAsia="方正仿宋_GBK" w:cs="Times New Roman"/>
          <w:sz w:val="44"/>
          <w:szCs w:val="44"/>
        </w:rPr>
        <w:tab/>
      </w:r>
      <w:r>
        <w:rPr>
          <w:rFonts w:hint="default" w:ascii="Times New Roman" w:hAnsi="Times New Roman" w:eastAsia="方正仿宋_GBK" w:cs="Times New Roman"/>
          <w:sz w:val="44"/>
          <w:szCs w:val="44"/>
        </w:rPr>
        <w:t>要</w:t>
      </w:r>
      <w:bookmarkEnd w:id="0"/>
    </w:p>
    <w:p w14:paraId="60BBB41C">
      <w:pPr>
        <w:spacing w:line="60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lang w:eastAsia="zh-CN"/>
        </w:rPr>
        <w:t>震害防御经费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。为了保障地震应急响应演练以及地震科普宣传经费。年初预算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万元，已使用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万元。</w:t>
      </w:r>
    </w:p>
    <w:p w14:paraId="32BC5BDB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印发实施了《加强新时代宿州市防震减灾科普工作的实施意见任务分解方案》《宿州市防震减灾科普“进校园”工作实施意见》，以特殊时段为重点，深入开展科普宣传“七进”，开展防震减灾科普宣传10余次、讲座30余场，科普馆接待参观100余批次，全年科普受众人数达万余人次。印制形式多样的宣传手册免费发放，进行防震减灾知识推送，不断探索和推进防震减灾科普社会化工作。</w:t>
      </w:r>
    </w:p>
    <w:p w14:paraId="1A354B35">
      <w:pPr>
        <w:pStyle w:val="3"/>
        <w:kinsoku w:val="0"/>
        <w:overflowPunct w:val="0"/>
        <w:spacing w:before="224" w:line="480" w:lineRule="auto"/>
        <w:ind w:right="46"/>
        <w:rPr>
          <w:rFonts w:hint="default" w:ascii="Times New Roman" w:hAnsi="Times New Roman" w:eastAsia="方正仿宋_GBK" w:cs="Times New Roman"/>
        </w:rPr>
        <w:sectPr>
          <w:footerReference r:id="rId3" w:type="default"/>
          <w:pgSz w:w="11910" w:h="16840"/>
          <w:pgMar w:top="1580" w:right="1420" w:bottom="1580" w:left="1480" w:header="0" w:footer="1384" w:gutter="0"/>
          <w:cols w:equalWidth="0" w:num="1">
            <w:col w:w="9010"/>
          </w:cols>
        </w:sectPr>
      </w:pPr>
    </w:p>
    <w:p w14:paraId="55F7F52C">
      <w:pPr>
        <w:pStyle w:val="3"/>
        <w:kinsoku w:val="0"/>
        <w:overflowPunct w:val="0"/>
        <w:ind w:left="751"/>
        <w:outlineLvl w:val="0"/>
        <w:rPr>
          <w:rFonts w:hint="eastAsia" w:ascii="方正黑体_GBK" w:hAnsi="方正黑体_GBK" w:eastAsia="方正黑体_GBK" w:cs="方正黑体_GBK"/>
        </w:rPr>
      </w:pPr>
      <w:bookmarkStart w:id="1" w:name="_Toc75514991"/>
      <w:r>
        <w:rPr>
          <w:rFonts w:hint="eastAsia" w:ascii="方正黑体_GBK" w:hAnsi="方正黑体_GBK" w:eastAsia="方正黑体_GBK" w:cs="方正黑体_GBK"/>
        </w:rPr>
        <w:t>一、项目基本情况</w:t>
      </w:r>
      <w:bookmarkEnd w:id="1"/>
    </w:p>
    <w:p w14:paraId="1E5E333E">
      <w:pPr>
        <w:spacing w:line="60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4"/>
          <w:w w:val="95"/>
          <w:sz w:val="32"/>
          <w:szCs w:val="32"/>
        </w:rPr>
        <w:t>（一）项目概况。</w:t>
      </w:r>
    </w:p>
    <w:p w14:paraId="1EDA1545">
      <w:pPr>
        <w:spacing w:line="60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lang w:eastAsia="zh-CN"/>
        </w:rPr>
        <w:t>震害防御经费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。为了保障地震应急响应演练以及地震科普宣传经费。年初预算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万元，已使用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万元。</w:t>
      </w:r>
    </w:p>
    <w:p w14:paraId="10987AAB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印发实施了《加强新时代宿州市防震减灾科普工作的实施意见任务分解方案》《宿州市防震减灾科普“进校园”工作实施意见》，以特殊时段为重点，深入开展科普宣传“七进”，开展防震减灾科普宣传10余次、讲座30余场，科普馆接待参观100余批次，全年科普受众人数达万余人次。印制形式多样的宣传手册免费发放，进行防震减灾知识推送，不断探索和推进防震减灾科普社会化工作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lang w:val="en-US" w:eastAsia="zh-CN"/>
        </w:rPr>
        <w:t>。</w:t>
      </w:r>
    </w:p>
    <w:p w14:paraId="653C299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 w:bidi="ar-SA"/>
        </w:rPr>
        <w:t>（二）项目绩效目标。</w:t>
      </w:r>
    </w:p>
    <w:p w14:paraId="3C3434D3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印发实施了《加强新时代宿州市防震减灾科普工作的实施意见任务分解方案》《宿州市防震减灾科普“进校园”工作实施意见》，以特殊时段为重点，深入开展科普宣传“七进”，开展防震减灾科普宣传10余次、讲座30余场，科普馆接待参观100余批次，全年科普受众人数达万余人次。印制形式多样的宣传手册免费发放，进行防震减灾知识推送，不断探索和推进防震减灾科普社会化工作。</w:t>
      </w:r>
    </w:p>
    <w:p w14:paraId="60717EF1">
      <w:pPr>
        <w:pStyle w:val="3"/>
        <w:kinsoku w:val="0"/>
        <w:overflowPunct w:val="0"/>
        <w:ind w:left="751"/>
        <w:outlineLvl w:val="0"/>
        <w:rPr>
          <w:rFonts w:hint="default" w:ascii="方正黑体_GBK" w:hAnsi="方正黑体_GBK" w:eastAsia="方正黑体_GBK" w:cs="方正黑体_GBK"/>
        </w:rPr>
      </w:pPr>
      <w:bookmarkStart w:id="2" w:name="_Toc75514992"/>
      <w:r>
        <w:rPr>
          <w:rFonts w:hint="default" w:ascii="方正黑体_GBK" w:hAnsi="方正黑体_GBK" w:eastAsia="方正黑体_GBK" w:cs="方正黑体_GBK"/>
        </w:rPr>
        <w:t>二、绩效评价工作开展情况</w:t>
      </w:r>
      <w:bookmarkEnd w:id="2"/>
    </w:p>
    <w:p w14:paraId="0423656E">
      <w:pPr>
        <w:pStyle w:val="3"/>
        <w:kinsoku w:val="0"/>
        <w:overflowPunct w:val="0"/>
        <w:ind w:left="751"/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</w:rPr>
        <w:t>（一）绩效评价目的、对象和范围。</w:t>
      </w:r>
    </w:p>
    <w:p w14:paraId="25F584BF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提升防震减灾队伍综合实力，不断探索和推进防震减灾科普社会化工作。</w:t>
      </w:r>
    </w:p>
    <w:p w14:paraId="0D7A2E8C">
      <w:pPr>
        <w:pStyle w:val="3"/>
        <w:kinsoku w:val="0"/>
        <w:overflowPunct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pacing w:val="-2"/>
        </w:rPr>
      </w:pPr>
      <w:r>
        <w:rPr>
          <w:rFonts w:hint="default" w:ascii="方正黑体_GBK" w:hAnsi="方正黑体_GBK" w:eastAsia="方正黑体_GBK" w:cs="方正黑体_GBK"/>
        </w:rPr>
        <w:t>（二）绩效评价原则、评价指标体系、评价方法、评价标准等。</w:t>
      </w:r>
    </w:p>
    <w:p w14:paraId="7754B1DB">
      <w:pPr>
        <w:spacing w:line="60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坚持科学规范、公正公开、分级分类、绩效相关的绩效评价原则，从产出指标 （数量指标）、效益指标（经济效益指标、社会效益指标）、服务对象满意度指标多个方面，运用科学合理的绩效评价方法，对绩效评价项目运行过程、完成结果、实现程度等执行情况进行监督检查与综合评价，强化财政支出绩效管理理念，促进财政资金分配和使用更加科学和有效，提高财政资金使用效益和效率。</w:t>
      </w:r>
    </w:p>
    <w:p w14:paraId="2A7D6337">
      <w:pPr>
        <w:pStyle w:val="3"/>
        <w:kinsoku w:val="0"/>
        <w:overflowPunct w:val="0"/>
        <w:spacing w:before="3"/>
        <w:ind w:left="751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</w:rPr>
        <w:t>（三）绩效评价工作过程。</w:t>
      </w:r>
    </w:p>
    <w:p w14:paraId="365D6868">
      <w:pPr>
        <w:spacing w:line="600" w:lineRule="exact"/>
        <w:ind w:firstLine="6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宿州市地震局通过内部公示，采用科室自评、互评、财务部门评价等多种方式，最后将自评结果通知到各科室，确保自评结果公平、公正，客观、真实，以此作为以后年度项目资金分配和执行的重要依据，促进财政资金的合理分配与有效使用。</w:t>
      </w:r>
    </w:p>
    <w:p w14:paraId="104A3533">
      <w:pPr>
        <w:pStyle w:val="3"/>
        <w:kinsoku w:val="0"/>
        <w:overflowPunct w:val="0"/>
        <w:spacing w:before="152" w:line="326" w:lineRule="auto"/>
        <w:ind w:left="751" w:right="1534"/>
        <w:outlineLvl w:val="0"/>
        <w:rPr>
          <w:rFonts w:hint="default" w:ascii="Times New Roman" w:hAnsi="Times New Roman" w:eastAsia="方正仿宋_GBK" w:cs="Times New Roman"/>
        </w:rPr>
      </w:pPr>
      <w:bookmarkStart w:id="3" w:name="_Toc75514993"/>
      <w:r>
        <w:rPr>
          <w:rFonts w:hint="default" w:ascii="方正黑体_GBK" w:hAnsi="方正黑体_GBK" w:eastAsia="方正黑体_GBK" w:cs="方正黑体_GBK"/>
        </w:rPr>
        <w:t>三、综合评价情况及评价结论</w:t>
      </w:r>
      <w:bookmarkEnd w:id="3"/>
      <w:r>
        <w:rPr>
          <w:rFonts w:hint="default" w:ascii="Times New Roman" w:hAnsi="Times New Roman" w:eastAsia="方正仿宋_GBK" w:cs="Times New Roman"/>
        </w:rPr>
        <w:t xml:space="preserve"> </w:t>
      </w:r>
    </w:p>
    <w:p w14:paraId="6035038E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bookmarkStart w:id="4" w:name="_Toc75514994"/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提升防震减灾队伍综合实力，不断探索和推进防震减灾科普社会化工作。</w:t>
      </w:r>
    </w:p>
    <w:p w14:paraId="5923C7F2">
      <w:pPr>
        <w:pStyle w:val="3"/>
        <w:kinsoku w:val="0"/>
        <w:overflowPunct w:val="0"/>
        <w:ind w:left="751"/>
        <w:outlineLvl w:val="0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四、绩效评价指标分析</w:t>
      </w:r>
      <w:bookmarkEnd w:id="4"/>
    </w:p>
    <w:p w14:paraId="35BE5D1D">
      <w:pPr>
        <w:pStyle w:val="3"/>
        <w:kinsoku w:val="0"/>
        <w:overflowPunct w:val="0"/>
        <w:ind w:left="751"/>
        <w:outlineLvl w:val="0"/>
        <w:rPr>
          <w:rFonts w:hint="default" w:ascii="Times New Roman" w:hAnsi="Times New Roman" w:eastAsia="方正仿宋_GBK" w:cs="Times New Roman"/>
          <w:w w:val="95"/>
        </w:rPr>
      </w:pPr>
      <w:r>
        <w:rPr>
          <w:rFonts w:hint="default" w:ascii="方正黑体_GBK" w:hAnsi="方正黑体_GBK" w:eastAsia="方正黑体_GBK" w:cs="方正黑体_GBK"/>
        </w:rPr>
        <w:t>（一）项目决策情况。</w:t>
      </w:r>
    </w:p>
    <w:p w14:paraId="3EC02EB5">
      <w:pPr>
        <w:spacing w:line="60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宿州市地震局结合202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年主要工作计划，结合工作实际需要，全面推进全市防震减灾事业发展，根据党组统一研究决定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  <w:lang w:eastAsia="zh-CN"/>
        </w:rPr>
        <w:t>震害防御经费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项目支出范围、并制定总体目标和年度目标。</w:t>
      </w:r>
    </w:p>
    <w:p w14:paraId="1B3114F9">
      <w:pPr>
        <w:pStyle w:val="3"/>
        <w:kinsoku w:val="0"/>
        <w:overflowPunct w:val="0"/>
        <w:ind w:left="751"/>
        <w:outlineLvl w:val="0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（二）项目过程情况。</w:t>
      </w:r>
    </w:p>
    <w:p w14:paraId="62600689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保障组织演练、宣传的运行，保障日常所需。</w:t>
      </w:r>
    </w:p>
    <w:p w14:paraId="5CBABD9B">
      <w:pPr>
        <w:pStyle w:val="3"/>
        <w:kinsoku w:val="0"/>
        <w:overflowPunct w:val="0"/>
        <w:spacing w:line="600" w:lineRule="exact"/>
        <w:ind w:firstLine="480" w:firstLineChars="150"/>
        <w:jc w:val="both"/>
        <w:rPr>
          <w:rFonts w:hint="default" w:ascii="Times New Roman" w:hAnsi="Times New Roman" w:eastAsia="方正仿宋_GBK" w:cs="Times New Roman"/>
          <w:w w:val="95"/>
        </w:rPr>
      </w:pPr>
      <w:r>
        <w:rPr>
          <w:rFonts w:hint="default" w:ascii="方正黑体_GBK" w:hAnsi="方正黑体_GBK" w:eastAsia="方正黑体_GBK" w:cs="方正黑体_GBK"/>
        </w:rPr>
        <w:t>（三）项目产出情况。</w:t>
      </w:r>
    </w:p>
    <w:p w14:paraId="068B9542">
      <w:pPr>
        <w:pStyle w:val="3"/>
        <w:kinsoku w:val="0"/>
        <w:overflowPunct w:val="0"/>
        <w:spacing w:line="600" w:lineRule="exact"/>
        <w:ind w:firstLine="624" w:firstLineChars="200"/>
        <w:jc w:val="both"/>
        <w:rPr>
          <w:rFonts w:hint="default" w:ascii="Times New Roman" w:hAnsi="Times New Roman" w:eastAsia="方正仿宋_GBK" w:cs="Times New Roman"/>
          <w:spacing w:val="4"/>
          <w:w w:val="95"/>
          <w:lang w:eastAsia="zh-CN"/>
        </w:rPr>
      </w:pPr>
      <w:r>
        <w:rPr>
          <w:rFonts w:hint="default" w:ascii="Times New Roman" w:hAnsi="Times New Roman" w:eastAsia="方正仿宋_GBK" w:cs="Times New Roman"/>
          <w:spacing w:val="4"/>
          <w:w w:val="95"/>
        </w:rPr>
        <w:t>组织演练，开展防震减灾科普宣传10余次、讲座30余场，科普馆接待参观100余批次，全年科普受众人数达万余人次</w:t>
      </w:r>
      <w:r>
        <w:rPr>
          <w:rFonts w:hint="default" w:ascii="Times New Roman" w:hAnsi="Times New Roman" w:eastAsia="方正仿宋_GBK" w:cs="Times New Roman"/>
          <w:spacing w:val="4"/>
          <w:w w:val="95"/>
          <w:lang w:eastAsia="zh-CN"/>
        </w:rPr>
        <w:t>。</w:t>
      </w:r>
    </w:p>
    <w:p w14:paraId="66795E11">
      <w:pPr>
        <w:pStyle w:val="3"/>
        <w:kinsoku w:val="0"/>
        <w:overflowPunct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w w:val="95"/>
        </w:rPr>
      </w:pPr>
      <w:r>
        <w:rPr>
          <w:rFonts w:hint="default" w:ascii="方正黑体_GBK" w:hAnsi="方正黑体_GBK" w:eastAsia="方正黑体_GBK" w:cs="方正黑体_GBK"/>
        </w:rPr>
        <w:t>（四）项目效益情况。</w:t>
      </w:r>
    </w:p>
    <w:p w14:paraId="57B2C569">
      <w:pPr>
        <w:spacing w:line="580" w:lineRule="exact"/>
        <w:ind w:firstLine="624" w:firstLineChars="200"/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>提升防震减灾队伍综合实力，不断探索和推进防震减灾科普社会化工作。</w:t>
      </w:r>
    </w:p>
    <w:p w14:paraId="5F66ED78">
      <w:pPr>
        <w:pStyle w:val="3"/>
        <w:kinsoku w:val="0"/>
        <w:overflowPunct w:val="0"/>
        <w:spacing w:before="151"/>
        <w:ind w:left="751"/>
        <w:outlineLvl w:val="0"/>
        <w:rPr>
          <w:rFonts w:hint="default" w:ascii="Times New Roman" w:hAnsi="Times New Roman" w:eastAsia="方正仿宋_GBK" w:cs="Times New Roman"/>
        </w:rPr>
      </w:pPr>
      <w:bookmarkStart w:id="5" w:name="_Toc75514995"/>
      <w:r>
        <w:rPr>
          <w:rFonts w:hint="default" w:ascii="方正黑体_GBK" w:hAnsi="方正黑体_GBK" w:eastAsia="方正黑体_GBK" w:cs="方正黑体_GBK"/>
        </w:rPr>
        <w:t>五、主要经验及做法</w:t>
      </w:r>
      <w:bookmarkEnd w:id="5"/>
    </w:p>
    <w:p w14:paraId="216484D0">
      <w:pPr>
        <w:widowControl w:val="0"/>
        <w:autoSpaceDE/>
        <w:autoSpaceDN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bookmarkStart w:id="6" w:name="_Toc75514996"/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创新“互联网+科普”，广泛开展丰富多彩的防震减灾科普宣传系列活动，印制了一批地震科普宣传展品，制作上线了宿州市“网上地震科普馆”，组织参加全国、全省防震减灾知识大赛和科普讲解大赛，均取得优异成绩。积极开展防震减灾科普宣传“七进”活动，举办防震减灾主题宣传、讲解大赛、知识大赛、科普讲座200余场，播放科普电影300余场次，受众人数达10万余人次，社会公众防震减灾综合素质明显提高，为服务全市经济社会发展大局发挥了重要保障作用。</w:t>
      </w:r>
    </w:p>
    <w:p w14:paraId="0D8F8E28">
      <w:pPr>
        <w:pStyle w:val="2"/>
        <w:spacing w:before="0" w:after="0" w:line="600" w:lineRule="exact"/>
        <w:ind w:firstLine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六、存在问题及原因分析</w:t>
      </w:r>
      <w:bookmarkEnd w:id="6"/>
    </w:p>
    <w:p w14:paraId="4EB5D05D">
      <w:pPr>
        <w:widowControl w:val="0"/>
        <w:pBdr>
          <w:bottom w:val="single" w:color="FFFFFF" w:sz="4" w:space="31"/>
        </w:pBdr>
        <w:autoSpaceDE/>
        <w:autoSpaceDN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无。</w:t>
      </w:r>
    </w:p>
    <w:p w14:paraId="013F2EB2">
      <w:pPr>
        <w:pStyle w:val="2"/>
        <w:spacing w:before="0" w:after="0" w:line="600" w:lineRule="exact"/>
        <w:ind w:firstLine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bookmarkStart w:id="7" w:name="_Toc75514997"/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七、有关建议</w:t>
      </w:r>
      <w:bookmarkEnd w:id="7"/>
    </w:p>
    <w:p w14:paraId="31DD3513">
      <w:pPr>
        <w:widowControl w:val="0"/>
        <w:pBdr>
          <w:bottom w:val="single" w:color="FFFFFF" w:sz="4" w:space="31"/>
        </w:pBdr>
        <w:autoSpaceDE/>
        <w:autoSpaceDN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无。</w:t>
      </w:r>
    </w:p>
    <w:p w14:paraId="266E1122">
      <w:pPr>
        <w:pStyle w:val="2"/>
        <w:spacing w:before="0" w:after="0" w:line="600" w:lineRule="exact"/>
        <w:ind w:firstLine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8" w:name="_Toc75514998"/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八、其他需要说明的问题</w:t>
      </w:r>
      <w:bookmarkEnd w:id="8"/>
    </w:p>
    <w:p w14:paraId="33AF27E6">
      <w:pPr>
        <w:widowControl w:val="0"/>
        <w:pBdr>
          <w:bottom w:val="single" w:color="FFFFFF" w:sz="4" w:space="31"/>
        </w:pBdr>
        <w:autoSpaceDE/>
        <w:autoSpaceDN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无。</w:t>
      </w:r>
    </w:p>
    <w:p w14:paraId="60CC6126">
      <w:pPr>
        <w:pStyle w:val="3"/>
        <w:kinsoku w:val="0"/>
        <w:overflowPunct w:val="0"/>
        <w:spacing w:before="54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928" w:right="1531" w:bottom="1701" w:left="1531" w:header="737" w:footer="851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26695"/>
      <w:docPartObj>
        <w:docPartGallery w:val="autotext"/>
      </w:docPartObj>
    </w:sdtPr>
    <w:sdtContent>
      <w:p w14:paraId="53A4DF22">
        <w:pPr>
          <w:pStyle w:val="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CCB89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2"/>
  </w:compat>
  <w:docVars>
    <w:docVar w:name="commondata" w:val="eyJoZGlkIjoiYWQ3MjgxMzNmNWY1OTZjNjkyMWNjZmJmNTA4NDY0ZTcifQ=="/>
  </w:docVars>
  <w:rsids>
    <w:rsidRoot w:val="001F01E8"/>
    <w:rsid w:val="00025346"/>
    <w:rsid w:val="00057BCE"/>
    <w:rsid w:val="00061741"/>
    <w:rsid w:val="00074039"/>
    <w:rsid w:val="000E1A52"/>
    <w:rsid w:val="001D0D76"/>
    <w:rsid w:val="001D2842"/>
    <w:rsid w:val="001F01E8"/>
    <w:rsid w:val="00225DED"/>
    <w:rsid w:val="00276858"/>
    <w:rsid w:val="00284E8C"/>
    <w:rsid w:val="002E0303"/>
    <w:rsid w:val="00352A93"/>
    <w:rsid w:val="00412B7A"/>
    <w:rsid w:val="004348DA"/>
    <w:rsid w:val="00463AA9"/>
    <w:rsid w:val="00481BCE"/>
    <w:rsid w:val="004A1E62"/>
    <w:rsid w:val="00566D70"/>
    <w:rsid w:val="005E768E"/>
    <w:rsid w:val="006127ED"/>
    <w:rsid w:val="006428AD"/>
    <w:rsid w:val="006727E7"/>
    <w:rsid w:val="006805BB"/>
    <w:rsid w:val="008C101D"/>
    <w:rsid w:val="00925C36"/>
    <w:rsid w:val="009A26B1"/>
    <w:rsid w:val="009B7A9F"/>
    <w:rsid w:val="009D4F29"/>
    <w:rsid w:val="009E70A5"/>
    <w:rsid w:val="00A0691E"/>
    <w:rsid w:val="00A75D29"/>
    <w:rsid w:val="00A95CBF"/>
    <w:rsid w:val="00AB1F98"/>
    <w:rsid w:val="00AF1E64"/>
    <w:rsid w:val="00AF6F90"/>
    <w:rsid w:val="00B8422B"/>
    <w:rsid w:val="00C12AD2"/>
    <w:rsid w:val="00C90AFE"/>
    <w:rsid w:val="00CD236F"/>
    <w:rsid w:val="00CF2E02"/>
    <w:rsid w:val="00D03B43"/>
    <w:rsid w:val="00D3164C"/>
    <w:rsid w:val="00D64043"/>
    <w:rsid w:val="00DE74EA"/>
    <w:rsid w:val="00E4192C"/>
    <w:rsid w:val="00F01193"/>
    <w:rsid w:val="00F2336F"/>
    <w:rsid w:val="00FC5B0B"/>
    <w:rsid w:val="305B1B65"/>
    <w:rsid w:val="35F1068C"/>
    <w:rsid w:val="3A04322D"/>
    <w:rsid w:val="68765C51"/>
    <w:rsid w:val="6A222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widowControl w:val="0"/>
      <w:adjustRightInd w:val="0"/>
      <w:jc w:val="left"/>
    </w:pPr>
    <w:rPr>
      <w:rFonts w:ascii="仿宋_GB2312" w:hAnsi="Times New Roman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39"/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宋体" w:eastAsia="宋体" w:cs="宋体"/>
      <w:sz w:val="18"/>
      <w:szCs w:val="18"/>
    </w:rPr>
  </w:style>
  <w:style w:type="paragraph" w:customStyle="1" w:styleId="12">
    <w:name w:val="Heading 1"/>
    <w:basedOn w:val="1"/>
    <w:qFormat/>
    <w:uiPriority w:val="0"/>
    <w:pPr>
      <w:widowControl w:val="0"/>
      <w:adjustRightInd w:val="0"/>
      <w:spacing w:line="753" w:lineRule="exact"/>
      <w:ind w:right="332"/>
      <w:jc w:val="center"/>
      <w:outlineLvl w:val="0"/>
    </w:pPr>
    <w:rPr>
      <w:rFonts w:ascii="方正小标宋_GBK" w:hAnsi="Times New Roman" w:eastAsia="方正小标宋_GBK" w:cs="方正小标宋_GBK"/>
      <w:sz w:val="44"/>
      <w:szCs w:val="44"/>
    </w:rPr>
  </w:style>
  <w:style w:type="character" w:customStyle="1" w:styleId="13">
    <w:name w:val="正文文本 Char"/>
    <w:basedOn w:val="8"/>
    <w:link w:val="3"/>
    <w:qFormat/>
    <w:uiPriority w:val="0"/>
    <w:rPr>
      <w:rFonts w:ascii="仿宋_GB2312" w:hAnsi="Times New Roman" w:eastAsia="仿宋_GB2312" w:cs="仿宋_GB2312"/>
      <w:sz w:val="32"/>
      <w:szCs w:val="32"/>
    </w:rPr>
  </w:style>
  <w:style w:type="paragraph" w:customStyle="1" w:styleId="14">
    <w:name w:val="列出段落1"/>
    <w:basedOn w:val="1"/>
    <w:qFormat/>
    <w:uiPriority w:val="0"/>
    <w:pPr>
      <w:widowControl w:val="0"/>
      <w:adjustRightInd w:val="0"/>
      <w:ind w:left="266" w:firstLine="640"/>
      <w:jc w:val="left"/>
    </w:pPr>
    <w:rPr>
      <w:rFonts w:ascii="仿宋_GB2312" w:hAnsi="Times New Roman" w:eastAsia="仿宋_GB2312" w:cs="仿宋_GB2312"/>
      <w:sz w:val="24"/>
      <w:szCs w:val="24"/>
    </w:rPr>
  </w:style>
  <w:style w:type="character" w:customStyle="1" w:styleId="15">
    <w:name w:val="标题 1 Char"/>
    <w:basedOn w:val="8"/>
    <w:link w:val="2"/>
    <w:qFormat/>
    <w:uiPriority w:val="0"/>
    <w:rPr>
      <w:rFonts w:ascii="Calibri" w:hAnsi="宋体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czj</Company>
  <Pages>7</Pages>
  <Words>1681</Words>
  <Characters>1712</Characters>
  <Lines>21</Lines>
  <Paragraphs>5</Paragraphs>
  <TotalTime>6</TotalTime>
  <ScaleCrop>false</ScaleCrop>
  <LinksUpToDate>false</LinksUpToDate>
  <CharactersWithSpaces>1728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2020-03-05T03:12:00Z</dcterms:created>
  <dc:creator>liulu</dc:creator>
  <cp:lastModifiedBy>szsdzj</cp:lastModifiedBy>
  <dcterms:modified xsi:type="dcterms:W3CDTF">2024-11-13T07:58:42Z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9BC806669B704CC2B543EA9766EF9F8D_12</vt:lpwstr>
  </property>
</Properties>
</file>